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8" w:rsidRPr="009E5EF6" w:rsidRDefault="00214E20">
      <w:pPr>
        <w:spacing w:after="0" w:line="240" w:lineRule="auto"/>
        <w:jc w:val="center"/>
        <w:rPr>
          <w:rFonts w:ascii="Liberation Sans" w:eastAsia="Times New Roman" w:hAnsi="Liberation Sans" w:cs="Liberation Sans"/>
          <w:color w:val="000000"/>
          <w:sz w:val="20"/>
          <w:szCs w:val="20"/>
          <w:lang w:eastAsia="fr-FR"/>
        </w:rPr>
      </w:pPr>
      <w:r>
        <w:rPr>
          <w:rFonts w:ascii="Verdana" w:eastAsia="Verdana" w:hAnsi="Verdana" w:cs="Verdana"/>
          <w:color w:val="000000"/>
          <w:sz w:val="50"/>
          <w:szCs w:val="50"/>
          <w:lang w:eastAsia="fr-FR"/>
        </w:rPr>
        <w:t>Construire le nombre pour exprimer des quantités</w:t>
      </w:r>
      <w:r w:rsidR="009E5EF6">
        <w:rPr>
          <w:rFonts w:ascii="Verdana" w:eastAsia="Verdana" w:hAnsi="Verdana" w:cs="Verdana"/>
          <w:color w:val="000000"/>
          <w:sz w:val="50"/>
          <w:szCs w:val="50"/>
          <w:lang w:eastAsia="fr-FR"/>
        </w:rPr>
        <w:br/>
      </w:r>
      <w:r w:rsidR="009E5EF6" w:rsidRPr="009E5EF6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7"/>
        <w:gridCol w:w="12067"/>
      </w:tblGrid>
      <w:tr w:rsidR="00E40268" w:rsidTr="009E5EF6">
        <w:trPr>
          <w:trHeight w:val="6"/>
        </w:trPr>
        <w:tc>
          <w:tcPr>
            <w:tcW w:w="3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  <w:t>Objectif(s) visé(s) :</w:t>
            </w:r>
          </w:p>
        </w:tc>
        <w:tc>
          <w:tcPr>
            <w:tcW w:w="12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  <w:t>Ce qui est attendu des enfants en fin d’école maternelle :</w:t>
            </w:r>
          </w:p>
        </w:tc>
      </w:tr>
      <w:tr w:rsidR="00E40268" w:rsidTr="009E5EF6">
        <w:trPr>
          <w:trHeight w:val="6"/>
        </w:trPr>
        <w:tc>
          <w:tcPr>
            <w:tcW w:w="3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 xml:space="preserve">Construire  </w:t>
            </w:r>
            <w:r w:rsidRPr="002930E2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 xml:space="preserve">le  </w:t>
            </w:r>
            <w:r w:rsidRPr="002930E2">
              <w:rPr>
                <w:rFonts w:ascii="Liberation Sans" w:eastAsia="Arial" w:hAnsi="Liberation Sans" w:cs="Arial"/>
                <w:spacing w:val="30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 xml:space="preserve">nombre  </w:t>
            </w:r>
            <w:r w:rsidRPr="002930E2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pour exprimer des quantités.</w:t>
            </w:r>
          </w:p>
        </w:tc>
        <w:tc>
          <w:tcPr>
            <w:tcW w:w="12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Évaluer et comparer des collections d’objets avec des procédures non numériques.</w:t>
            </w:r>
          </w:p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Mobiliser des symboles analogiques, verbaux pour communiquer des informations orales sur une quantité.</w:t>
            </w:r>
          </w:p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Avoir</w:t>
            </w:r>
            <w:r w:rsidRPr="002930E2">
              <w:rPr>
                <w:rFonts w:ascii="Liberation Sans" w:eastAsia="Arial" w:hAnsi="Liberation Sans" w:cs="Arial"/>
                <w:spacing w:val="39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compris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que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le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cardinal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(ici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quantité)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ne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change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pas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si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on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modifie</w:t>
            </w:r>
            <w:r w:rsidRPr="002930E2">
              <w:rPr>
                <w:rFonts w:ascii="Liberation Sans" w:eastAsia="Arial" w:hAnsi="Liberation Sans" w:cs="Arial"/>
                <w:spacing w:val="4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la disposition spatiale ou la nature des éléments.</w:t>
            </w:r>
          </w:p>
        </w:tc>
      </w:tr>
      <w:tr w:rsidR="00E40268" w:rsidTr="009E5EF6">
        <w:trPr>
          <w:trHeight w:val="6"/>
        </w:trPr>
        <w:tc>
          <w:tcPr>
            <w:tcW w:w="3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2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Situations de jeux, ou de résolution de problèmes</w:t>
            </w:r>
            <w:r w:rsidRPr="002930E2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qui</w:t>
            </w:r>
            <w:r w:rsidRPr="002930E2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font sens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,</w:t>
            </w:r>
            <w:r w:rsidRPr="002930E2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qui</w:t>
            </w:r>
            <w:r w:rsidRPr="002930E2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intègrent</w:t>
            </w:r>
            <w:r w:rsidRPr="002930E2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2930E2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variables telles  que  la  taille  des  collections, la nature des objets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et leur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organisation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spatiale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et qui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visent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la construction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et à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l’entraînement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procédures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en s’appuyant sur les interactions langagières.</w:t>
            </w:r>
          </w:p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Nombreuses situations de manipulation permettant à l’enfant de verbaliser ce qu’il a fait.</w:t>
            </w:r>
          </w:p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Situations dans lesquelles on travaillera avec les mêmes variables que précédemment, plus une autre : caractère déplaçable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ou non des objets constituant les collections.</w:t>
            </w:r>
          </w:p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Mise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œuvre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et identification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</w:rPr>
              <w:t>procédures possibles : correspondance terme à terme, construction de collections témoins (doigts, dés, objets…) sans utiliser le nombre.</w:t>
            </w:r>
          </w:p>
        </w:tc>
      </w:tr>
      <w:tr w:rsidR="00E40268" w:rsidTr="009E5EF6">
        <w:trPr>
          <w:trHeight w:val="6"/>
        </w:trPr>
        <w:tc>
          <w:tcPr>
            <w:tcW w:w="3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2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2930E2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Comparer des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collections afin</w:t>
            </w:r>
            <w:r w:rsidRPr="002930E2">
              <w:rPr>
                <w:rFonts w:ascii="Liberation Sans" w:eastAsia="Arial" w:hAnsi="Liberation Sans" w:cs="Arial"/>
                <w:spacing w:val="1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de familiariser les élèves avec les quantités</w:t>
            </w:r>
            <w:r w:rsidRPr="002930E2">
              <w:rPr>
                <w:rFonts w:ascii="Liberation Sans" w:eastAsia="Arial" w:hAnsi="Liberation Sans" w:cs="Arial"/>
                <w:i/>
                <w:iCs/>
                <w:sz w:val="20"/>
                <w:szCs w:val="20"/>
                <w:lang w:eastAsia="fr-FR"/>
              </w:rPr>
              <w:t>.</w:t>
            </w:r>
          </w:p>
        </w:tc>
      </w:tr>
    </w:tbl>
    <w:p w:rsidR="00E40268" w:rsidRDefault="00E40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3"/>
        <w:gridCol w:w="336"/>
        <w:gridCol w:w="337"/>
        <w:gridCol w:w="338"/>
        <w:gridCol w:w="152"/>
        <w:gridCol w:w="189"/>
        <w:gridCol w:w="338"/>
        <w:gridCol w:w="338"/>
        <w:gridCol w:w="337"/>
        <w:gridCol w:w="125"/>
        <w:gridCol w:w="213"/>
        <w:gridCol w:w="338"/>
        <w:gridCol w:w="249"/>
        <w:gridCol w:w="89"/>
        <w:gridCol w:w="338"/>
        <w:gridCol w:w="338"/>
        <w:gridCol w:w="34"/>
        <w:gridCol w:w="304"/>
        <w:gridCol w:w="338"/>
        <w:gridCol w:w="157"/>
        <w:gridCol w:w="181"/>
        <w:gridCol w:w="338"/>
        <w:gridCol w:w="281"/>
        <w:gridCol w:w="57"/>
        <w:gridCol w:w="338"/>
        <w:gridCol w:w="338"/>
        <w:gridCol w:w="66"/>
        <w:gridCol w:w="272"/>
        <w:gridCol w:w="338"/>
        <w:gridCol w:w="189"/>
        <w:gridCol w:w="149"/>
        <w:gridCol w:w="338"/>
        <w:gridCol w:w="338"/>
      </w:tblGrid>
      <w:tr w:rsidR="00E40268" w:rsidTr="009C59B9">
        <w:trPr>
          <w:trHeight w:val="6"/>
        </w:trPr>
        <w:tc>
          <w:tcPr>
            <w:tcW w:w="876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1327" w:type="dxa"/>
            <w:gridSpan w:val="5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46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9C59B9" w:rsidTr="009C59B9">
        <w:trPr>
          <w:cantSplit/>
          <w:trHeight w:val="1321"/>
        </w:trPr>
        <w:tc>
          <w:tcPr>
            <w:tcW w:w="7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Default="009C59B9">
            <w:pPr>
              <w:spacing w:after="0" w:line="240" w:lineRule="auto"/>
              <w:ind w:left="57" w:right="57"/>
              <w:rPr>
                <w:rFonts w:ascii="Liberation Sans" w:eastAsia="Arial" w:hAnsi="Liberation Sans" w:cs="Arial"/>
                <w:lang w:eastAsia="fr-FR"/>
              </w:rPr>
            </w:pPr>
          </w:p>
        </w:tc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spacing w:after="0" w:line="240" w:lineRule="auto"/>
              <w:ind w:left="57" w:right="57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Estimer des quantités de façon approximative (ex : beaucoup/pas beaucoup…).</w:t>
            </w:r>
          </w:p>
        </w:tc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7B5477">
        <w:trPr>
          <w:trHeight w:val="6"/>
        </w:trPr>
        <w:tc>
          <w:tcPr>
            <w:tcW w:w="15704" w:type="dxa"/>
            <w:gridSpan w:val="3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Produire</w:t>
            </w:r>
            <w:r w:rsidRPr="002930E2">
              <w:rPr>
                <w:rFonts w:ascii="Liberation Sans" w:eastAsia="Arial" w:hAnsi="Liberation Sans" w:cs="Arial"/>
                <w:spacing w:val="7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 collection de même cardinal qu’une</w:t>
            </w:r>
            <w:r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 autre sans recours au comptage :</w:t>
            </w: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en réalis</w:t>
            </w:r>
            <w:r w:rsidRPr="002930E2">
              <w:rPr>
                <w:rFonts w:ascii="Liberation Sans" w:eastAsia="Arial" w:hAnsi="Liberation Sans" w:cs="Arial"/>
                <w:spacing w:val="4"/>
                <w:sz w:val="20"/>
                <w:szCs w:val="20"/>
                <w:lang w:eastAsia="fr-FR"/>
              </w:rPr>
              <w:t xml:space="preserve">ant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</w:t>
            </w:r>
            <w:r w:rsidRPr="002930E2">
              <w:rPr>
                <w:rFonts w:ascii="Liberation Sans" w:eastAsia="Arial" w:hAnsi="Liberation Sans" w:cs="Arial"/>
                <w:spacing w:val="4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correspondance terme à terme,</w:t>
            </w:r>
          </w:p>
        </w:tc>
        <w:tc>
          <w:tcPr>
            <w:tcW w:w="33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en utilisant une collection témoin (doigts, dés, objets…)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E5EF6" w:rsidTr="00532BC3">
        <w:trPr>
          <w:trHeight w:val="6"/>
        </w:trPr>
        <w:tc>
          <w:tcPr>
            <w:tcW w:w="15704" w:type="dxa"/>
            <w:gridSpan w:val="3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E5EF6" w:rsidRDefault="009E5EF6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Réaliser</w:t>
            </w:r>
            <w:r w:rsidRPr="002930E2">
              <w:rPr>
                <w:rFonts w:ascii="Liberation Sans" w:eastAsia="Arial" w:hAnsi="Liberation Sans" w:cs="Arial"/>
                <w:spacing w:val="4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</w:t>
            </w:r>
            <w:r w:rsidRPr="002930E2">
              <w:rPr>
                <w:rFonts w:ascii="Liberation Sans" w:eastAsia="Arial" w:hAnsi="Liberation Sans" w:cs="Arial"/>
                <w:spacing w:val="4"/>
                <w:sz w:val="20"/>
                <w:szCs w:val="20"/>
                <w:lang w:eastAsia="fr-FR"/>
              </w:rPr>
              <w:t xml:space="preserve">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correspondance terme à terme</w:t>
            </w:r>
            <w:r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 pour comparer deux collections et </w:t>
            </w: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trouver celles qui sont équipotentes</w:t>
            </w:r>
            <w:r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.</w:t>
            </w: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numPr>
                <w:ilvl w:val="0"/>
                <w:numId w:val="2"/>
              </w:numPr>
              <w:spacing w:after="0" w:line="240" w:lineRule="auto"/>
              <w:ind w:left="340" w:hanging="57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d'éléments déplaçables,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numPr>
                <w:ilvl w:val="0"/>
                <w:numId w:val="2"/>
              </w:numPr>
              <w:spacing w:after="0" w:line="240" w:lineRule="auto"/>
              <w:ind w:left="340" w:hanging="57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d'éléments non déplaçables</w:t>
            </w:r>
            <w:r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 (avec collection intermédiaire)</w:t>
            </w:r>
            <w:r w:rsidRPr="002930E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spacing w:after="0" w:line="240" w:lineRule="auto"/>
              <w:ind w:left="57" w:right="57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930E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Comparer des collections pour déterminer celles  qui ont plus ou moins d’éléments qu’une collection donnée.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6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spacing w:after="0" w:line="240" w:lineRule="auto"/>
              <w:ind w:left="57" w:right="57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hAnsi="Liberation Sans"/>
                <w:sz w:val="20"/>
                <w:szCs w:val="20"/>
              </w:rPr>
              <w:t>Utiliser correctement le vocabulaire « trop, assez, pas assez, moins, plus, pareil »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9C59B9" w:rsidTr="009C59B9">
        <w:trPr>
          <w:trHeight w:val="223"/>
        </w:trPr>
        <w:tc>
          <w:tcPr>
            <w:tcW w:w="75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2930E2" w:rsidRDefault="009C59B9">
            <w:pPr>
              <w:spacing w:after="0" w:line="240" w:lineRule="auto"/>
              <w:ind w:left="57" w:right="57"/>
              <w:rPr>
                <w:rFonts w:ascii="Liberation Sans" w:hAnsi="Liberation Sans"/>
                <w:sz w:val="20"/>
                <w:szCs w:val="20"/>
              </w:rPr>
            </w:pPr>
            <w:r w:rsidRPr="002930E2">
              <w:rPr>
                <w:rFonts w:ascii="Liberation Sans" w:hAnsi="Liberation Sans"/>
                <w:sz w:val="20"/>
                <w:szCs w:val="20"/>
              </w:rPr>
              <w:t>Utiliser correctement le vocabulaire « plus que, moins que, autant que »</w:t>
            </w: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</w:tbl>
    <w:p w:rsidR="00E40268" w:rsidRDefault="00E40268">
      <w:pPr>
        <w:spacing w:after="0" w:line="240" w:lineRule="auto"/>
        <w:jc w:val="center"/>
        <w:sectPr w:rsidR="00E40268">
          <w:pgSz w:w="16838" w:h="11906" w:orient="landscape"/>
          <w:pgMar w:top="283" w:right="567" w:bottom="283" w:left="567" w:header="0" w:footer="0" w:gutter="0"/>
          <w:cols w:space="720"/>
          <w:formProt w:val="0"/>
          <w:docGrid w:linePitch="360" w:charSpace="-2049"/>
        </w:sectPr>
      </w:pPr>
    </w:p>
    <w:p w:rsidR="00E40268" w:rsidRDefault="00214E20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50"/>
          <w:szCs w:val="50"/>
          <w:lang w:eastAsia="fr-FR"/>
        </w:rPr>
      </w:pPr>
      <w:r>
        <w:rPr>
          <w:rFonts w:ascii="Verdana" w:eastAsia="Verdana" w:hAnsi="Verdana" w:cs="Verdana"/>
          <w:color w:val="000000"/>
          <w:sz w:val="50"/>
          <w:szCs w:val="50"/>
          <w:lang w:eastAsia="fr-FR"/>
        </w:rPr>
        <w:lastRenderedPageBreak/>
        <w:t>Stabiliser la connaissance des petits nombres</w:t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2"/>
        <w:gridCol w:w="13022"/>
      </w:tblGrid>
      <w:tr w:rsidR="00E40268" w:rsidTr="004270CB">
        <w:trPr>
          <w:trHeight w:val="6"/>
        </w:trPr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  <w:t>Objectif(s) visé(s) :</w:t>
            </w:r>
          </w:p>
        </w:tc>
        <w:tc>
          <w:tcPr>
            <w:tcW w:w="1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4"/>
                <w:szCs w:val="24"/>
                <w:lang w:eastAsia="fr-FR"/>
              </w:rPr>
              <w:t>Ce qui est attendu des enfants en fin d’école maternelle :</w:t>
            </w:r>
          </w:p>
        </w:tc>
      </w:tr>
      <w:tr w:rsidR="00E40268" w:rsidTr="004270CB">
        <w:trPr>
          <w:trHeight w:val="6"/>
        </w:trPr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Stabiliser </w:t>
            </w:r>
            <w:proofErr w:type="spellStart"/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al</w:t>
            </w:r>
            <w:proofErr w:type="spellEnd"/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 connaissance des petits nombres</w:t>
            </w:r>
          </w:p>
        </w:tc>
        <w:tc>
          <w:tcPr>
            <w:tcW w:w="1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03" w:right="282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Réaliser une collection dont le cardinal est donné.</w:t>
            </w:r>
          </w:p>
          <w:p w:rsidR="00E40268" w:rsidRPr="004270CB" w:rsidRDefault="00214E20">
            <w:pPr>
              <w:spacing w:after="0" w:line="249" w:lineRule="auto"/>
              <w:ind w:left="103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Utiliser le dénombrement pour constituer une collection d’une taille donnée ou pour réaliser une collection de quantité égale à la collection proposée.</w:t>
            </w:r>
          </w:p>
          <w:p w:rsidR="00E40268" w:rsidRPr="004270CB" w:rsidRDefault="00214E20">
            <w:pPr>
              <w:spacing w:after="0" w:line="249" w:lineRule="auto"/>
              <w:ind w:left="103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Avoir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compris</w:t>
            </w:r>
            <w:r w:rsidRPr="004270CB">
              <w:rPr>
                <w:rFonts w:ascii="Liberation Sans" w:eastAsia="Arial" w:hAnsi="Liberation Sans" w:cs="Arial"/>
                <w:spacing w:val="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que</w:t>
            </w:r>
            <w:r w:rsidRPr="004270CB">
              <w:rPr>
                <w:rFonts w:ascii="Liberation Sans" w:eastAsia="Arial" w:hAnsi="Liberation Sans" w:cs="Arial"/>
                <w:spacing w:val="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tout nombre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s’obtient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4270CB">
              <w:rPr>
                <w:rFonts w:ascii="Liberation Sans" w:eastAsia="Arial" w:hAnsi="Liberation Sans" w:cs="Arial"/>
                <w:spacing w:val="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ajoutant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un</w:t>
            </w:r>
            <w:r w:rsidRPr="004270CB">
              <w:rPr>
                <w:rFonts w:ascii="Liberation Sans" w:eastAsia="Arial" w:hAnsi="Liberation Sans" w:cs="Arial"/>
                <w:spacing w:val="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au</w:t>
            </w:r>
            <w:r w:rsidRPr="004270CB">
              <w:rPr>
                <w:rFonts w:ascii="Liberation Sans" w:eastAsia="Arial" w:hAnsi="Liberation Sans" w:cs="Arial"/>
                <w:spacing w:val="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nombre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précédent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et que cela correspond à l’ajout d’une unité à la quantité précédente.</w:t>
            </w:r>
          </w:p>
          <w:p w:rsidR="00E40268" w:rsidRPr="004270CB" w:rsidRDefault="00214E20">
            <w:pPr>
              <w:spacing w:after="0" w:line="249" w:lineRule="auto"/>
              <w:ind w:left="103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Quantifier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collections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jusqu’à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dix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au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moins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;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les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composer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et les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décomposer par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manipulation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effective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puis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mentale.</w:t>
            </w:r>
          </w:p>
          <w:p w:rsidR="00E40268" w:rsidRPr="004270CB" w:rsidRDefault="00214E20">
            <w:pPr>
              <w:spacing w:after="0" w:line="249" w:lineRule="auto"/>
              <w:ind w:left="103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Dire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combien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il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faut ajouter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ou</w:t>
            </w:r>
            <w:r w:rsidRPr="004270CB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enlever pour obtenir des quantités ne dépassant pas dix.</w:t>
            </w:r>
          </w:p>
          <w:p w:rsidR="00E40268" w:rsidRPr="004270CB" w:rsidRDefault="00214E20">
            <w:pPr>
              <w:spacing w:after="0" w:line="240" w:lineRule="auto"/>
              <w:ind w:left="103" w:right="2796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Parler des nombres à l’aide de leur décomposition.</w:t>
            </w:r>
          </w:p>
        </w:tc>
      </w:tr>
      <w:tr w:rsidR="00E40268" w:rsidTr="004270CB">
        <w:trPr>
          <w:trHeight w:val="6"/>
        </w:trPr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13" w:right="113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Situations de jeux, ou de résolution de problèmes</w:t>
            </w:r>
            <w:r w:rsidRPr="004270CB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qui</w:t>
            </w:r>
            <w:r w:rsidRPr="004270CB">
              <w:rPr>
                <w:rFonts w:ascii="Liberation Sans" w:eastAsia="Arial" w:hAnsi="Liberation Sans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b/>
                <w:bCs/>
                <w:sz w:val="20"/>
                <w:szCs w:val="20"/>
              </w:rPr>
              <w:t>font sens.</w:t>
            </w:r>
          </w:p>
          <w:p w:rsidR="00E40268" w:rsidRPr="004270CB" w:rsidRDefault="00214E20">
            <w:pPr>
              <w:spacing w:after="0" w:line="249" w:lineRule="auto"/>
              <w:ind w:left="104" w:right="49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Activités qui privilégient la perception spontanée des petites quantités jusqu’à trois.</w:t>
            </w:r>
          </w:p>
          <w:p w:rsidR="00E40268" w:rsidRPr="004270CB" w:rsidRDefault="00214E20">
            <w:pPr>
              <w:spacing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Activités de constitution et d’appariement de collections (inférieures ou égales à 10) avec des quantités énoncées</w:t>
            </w:r>
            <w:r w:rsidRPr="004270CB">
              <w:rPr>
                <w:rFonts w:ascii="Liberation Sans" w:eastAsia="Arial" w:hAnsi="Liberation Sans" w:cs="Arial"/>
                <w:spacing w:val="40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de différentes façons par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l’enseignant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(ex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: 7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ou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«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5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et encore 2 », ou « 6 et encore 1 » ou « 3 et encore 3 et encore 1 »).</w:t>
            </w:r>
          </w:p>
          <w:p w:rsidR="00E40268" w:rsidRPr="004270CB" w:rsidRDefault="00214E20">
            <w:pPr>
              <w:spacing w:before="113" w:after="0" w:line="240" w:lineRule="auto"/>
              <w:ind w:left="104" w:right="435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hAnsi="Liberation Sans"/>
                <w:sz w:val="20"/>
                <w:szCs w:val="20"/>
              </w:rPr>
              <w:t>Evolution vers :</w:t>
            </w:r>
          </w:p>
          <w:p w:rsidR="00E40268" w:rsidRPr="004270CB" w:rsidRDefault="00214E20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l’ajout</w:t>
            </w:r>
            <w:r w:rsidRPr="004270CB">
              <w:rPr>
                <w:rFonts w:ascii="Liberation Sans" w:eastAsia="Arial" w:hAnsi="Liberation Sans" w:cs="Arial"/>
                <w:spacing w:val="45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successif</w:t>
            </w:r>
            <w:r w:rsidRPr="004270CB">
              <w:rPr>
                <w:rFonts w:ascii="Liberation Sans" w:eastAsia="Arial" w:hAnsi="Liberation Sans" w:cs="Arial"/>
                <w:spacing w:val="45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d’unités</w:t>
            </w:r>
            <w:r w:rsidRPr="004270CB">
              <w:rPr>
                <w:rFonts w:ascii="Liberation Sans" w:eastAsia="Arial" w:hAnsi="Liberation Sans" w:cs="Arial"/>
                <w:spacing w:val="45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(«</w:t>
            </w:r>
            <w:r w:rsidRPr="004270CB">
              <w:rPr>
                <w:rFonts w:ascii="Liberation Sans" w:eastAsia="Arial" w:hAnsi="Liberation Sans" w:cs="Arial"/>
                <w:spacing w:val="45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un, et un,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et encore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un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: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trois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»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ou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« deux et un, trois »), en augmentant progressive</w:t>
            </w:r>
            <w:r w:rsid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ment la taille des collections </w:t>
            </w:r>
          </w:p>
          <w:p w:rsidR="00E40268" w:rsidRPr="004270CB" w:rsidRDefault="00214E20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l’utilisation  </w:t>
            </w:r>
            <w:r w:rsidRPr="004270CB">
              <w:rPr>
                <w:rFonts w:ascii="Liberation Sans" w:eastAsia="Arial" w:hAnsi="Liberation Sans" w:cs="Arial"/>
                <w:spacing w:val="28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des  </w:t>
            </w:r>
            <w:r w:rsidRPr="004270CB">
              <w:rPr>
                <w:rFonts w:ascii="Liberation Sans" w:eastAsia="Arial" w:hAnsi="Liberation Sans" w:cs="Arial"/>
                <w:spacing w:val="28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groupements (exemple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:</w:t>
            </w:r>
            <w:r w:rsidRPr="004270CB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«trois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et deux»</w:t>
            </w:r>
            <w:r w:rsidRPr="004270CB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pour constituer une collection de cinq éléments) ;</w:t>
            </w:r>
          </w:p>
          <w:p w:rsidR="00E40268" w:rsidRPr="004270CB" w:rsidRDefault="00214E20">
            <w:pPr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l'utilisation du comptage. </w:t>
            </w:r>
          </w:p>
          <w:p w:rsidR="00E40268" w:rsidRPr="004270CB" w:rsidRDefault="00214E20">
            <w:pPr>
              <w:spacing w:after="0" w:line="240" w:lineRule="auto"/>
              <w:jc w:val="both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Collections jusqu’à cinq entre deux et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quatre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ans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et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jusqu’à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dix</w:t>
            </w:r>
            <w:r w:rsidRPr="004270CB">
              <w:rPr>
                <w:rFonts w:ascii="Liberation Sans" w:eastAsia="Arial" w:hAnsi="Liberation Sans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i/>
                <w:iCs/>
                <w:sz w:val="20"/>
                <w:szCs w:val="20"/>
              </w:rPr>
              <w:t>après quatre ans.</w:t>
            </w:r>
          </w:p>
          <w:p w:rsidR="00E40268" w:rsidRPr="004270CB" w:rsidRDefault="00214E20">
            <w:pPr>
              <w:spacing w:before="113"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Activités favorisant la composition </w:t>
            </w:r>
            <w:r w:rsidRPr="004270CB">
              <w:rPr>
                <w:rFonts w:ascii="Liberation Sans" w:eastAsia="Arial" w:hAnsi="Liberation Sans" w:cs="Arial"/>
                <w:w w:val="99"/>
                <w:sz w:val="20"/>
                <w:szCs w:val="20"/>
              </w:rPr>
              <w:t>et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 la décomposition d’une collection avec deux collections distinctes.</w:t>
            </w:r>
          </w:p>
        </w:tc>
      </w:tr>
      <w:tr w:rsidR="00E40268" w:rsidTr="004270CB">
        <w:trPr>
          <w:trHeight w:val="6"/>
        </w:trPr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E40268" w:rsidRPr="004270CB" w:rsidRDefault="00214E20">
            <w:pPr>
              <w:spacing w:after="0" w:line="240" w:lineRule="auto"/>
              <w:ind w:left="104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Constituer des collections.</w:t>
            </w:r>
          </w:p>
          <w:p w:rsidR="00E40268" w:rsidRPr="004270CB" w:rsidRDefault="00214E20">
            <w:pPr>
              <w:spacing w:after="0" w:line="249" w:lineRule="auto"/>
              <w:ind w:left="104" w:right="49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Constituer des collections avec comptage (avec les mots– nombres).</w:t>
            </w:r>
          </w:p>
          <w:p w:rsidR="00E40268" w:rsidRPr="004270CB" w:rsidRDefault="00214E20">
            <w:pPr>
              <w:spacing w:after="0" w:line="240" w:lineRule="auto"/>
              <w:ind w:left="104" w:right="744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Compléter une collection.</w:t>
            </w:r>
          </w:p>
          <w:p w:rsidR="00E40268" w:rsidRPr="004270CB" w:rsidRDefault="00214E20">
            <w:pPr>
              <w:tabs>
                <w:tab w:val="left" w:pos="1340"/>
                <w:tab w:val="left" w:pos="2700"/>
              </w:tabs>
              <w:spacing w:after="0" w:line="249" w:lineRule="auto"/>
              <w:ind w:left="104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Composer, décomposer une quantité.</w:t>
            </w:r>
          </w:p>
        </w:tc>
      </w:tr>
    </w:tbl>
    <w:p w:rsidR="00E40268" w:rsidRDefault="00E40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7"/>
        <w:gridCol w:w="338"/>
        <w:gridCol w:w="338"/>
        <w:gridCol w:w="338"/>
        <w:gridCol w:w="341"/>
        <w:gridCol w:w="338"/>
        <w:gridCol w:w="338"/>
        <w:gridCol w:w="338"/>
        <w:gridCol w:w="124"/>
        <w:gridCol w:w="214"/>
        <w:gridCol w:w="338"/>
        <w:gridCol w:w="248"/>
        <w:gridCol w:w="90"/>
        <w:gridCol w:w="338"/>
        <w:gridCol w:w="339"/>
        <w:gridCol w:w="32"/>
        <w:gridCol w:w="306"/>
        <w:gridCol w:w="338"/>
        <w:gridCol w:w="155"/>
        <w:gridCol w:w="183"/>
        <w:gridCol w:w="338"/>
        <w:gridCol w:w="279"/>
        <w:gridCol w:w="59"/>
        <w:gridCol w:w="338"/>
        <w:gridCol w:w="338"/>
        <w:gridCol w:w="64"/>
        <w:gridCol w:w="274"/>
        <w:gridCol w:w="338"/>
        <w:gridCol w:w="187"/>
        <w:gridCol w:w="151"/>
        <w:gridCol w:w="338"/>
        <w:gridCol w:w="339"/>
      </w:tblGrid>
      <w:tr w:rsidR="00E40268" w:rsidTr="009C59B9">
        <w:trPr>
          <w:trHeight w:val="6"/>
        </w:trPr>
        <w:tc>
          <w:tcPr>
            <w:tcW w:w="7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E40268" w:rsidRDefault="00214E20" w:rsidP="004270CB">
            <w:pPr>
              <w:spacing w:after="0" w:line="240" w:lineRule="auto"/>
              <w:ind w:right="113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 xml:space="preserve">L’enseignant observe que l’enfant commence à réussir ou réussit régulièrement </w:t>
            </w:r>
            <w:r w:rsidR="004270CB">
              <w:rPr>
                <w:rFonts w:ascii="Liberation Sans" w:eastAsia="Times New Roman" w:hAnsi="Liberation Sans" w:cs="Arial"/>
                <w:lang w:eastAsia="fr-FR"/>
              </w:rPr>
              <w:t>à</w:t>
            </w:r>
          </w:p>
        </w:tc>
        <w:tc>
          <w:tcPr>
            <w:tcW w:w="2493" w:type="dxa"/>
            <w:gridSpan w:val="8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B2B2B2"/>
            <w:tcMar>
              <w:left w:w="57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25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46" w:type="dxa"/>
            </w:tcMar>
          </w:tcPr>
          <w:p w:rsidR="00E40268" w:rsidRDefault="00E40268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6019D8" w:rsidTr="006019D8">
        <w:trPr>
          <w:cantSplit/>
          <w:trHeight w:val="1394"/>
        </w:trPr>
        <w:tc>
          <w:tcPr>
            <w:tcW w:w="7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Default="009C59B9">
            <w:pPr>
              <w:spacing w:after="0" w:line="249" w:lineRule="auto"/>
              <w:ind w:left="104" w:right="49"/>
              <w:jc w:val="both"/>
              <w:rPr>
                <w:rFonts w:ascii="Liberation Sans" w:eastAsia="Arial" w:hAnsi="Liberation Sans" w:cs="Arial"/>
                <w:lang w:eastAsia="fr-FR"/>
              </w:rPr>
            </w:pP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extDirection w:val="btLr"/>
          </w:tcPr>
          <w:p w:rsidR="009C59B9" w:rsidRDefault="009C59B9" w:rsidP="004270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spacing w:after="0" w:line="249" w:lineRule="auto"/>
              <w:ind w:left="104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Donner,</w:t>
            </w:r>
            <w:r w:rsidRPr="004270CB">
              <w:rPr>
                <w:rFonts w:ascii="Liberation Sans" w:eastAsia="Arial" w:hAnsi="Liberation Sans" w:cs="Arial"/>
                <w:spacing w:val="53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montrer,</w:t>
            </w:r>
            <w:r w:rsidRPr="004270CB">
              <w:rPr>
                <w:rFonts w:ascii="Liberation Sans" w:eastAsia="Arial" w:hAnsi="Liberation Sans" w:cs="Arial"/>
                <w:spacing w:val="53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prendre</w:t>
            </w:r>
            <w:r w:rsidRPr="004270CB">
              <w:rPr>
                <w:rFonts w:ascii="Liberation Sans" w:eastAsia="Arial" w:hAnsi="Liberation Sans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une</w:t>
            </w:r>
            <w:r w:rsidRPr="004270CB">
              <w:rPr>
                <w:rFonts w:ascii="Liberation Sans" w:eastAsia="Arial" w:hAnsi="Liberation Sans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quantité demandée d’éléments.</w:t>
            </w:r>
          </w:p>
        </w:tc>
        <w:tc>
          <w:tcPr>
            <w:tcW w:w="33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spacing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Constituer </w:t>
            </w:r>
            <w:r w:rsidRPr="004270CB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des </w:t>
            </w:r>
            <w:r w:rsidRPr="004270CB">
              <w:rPr>
                <w:rFonts w:ascii="Liberation Sans" w:eastAsia="Arial" w:hAnsi="Liberation Sans" w:cs="Arial"/>
                <w:spacing w:val="1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groupements </w:t>
            </w:r>
            <w:r w:rsidRPr="004270CB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 xml:space="preserve">afin </w:t>
            </w:r>
            <w:r w:rsidRPr="004270CB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de réaliser des collections en réponse à une demande.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spacing w:after="0" w:line="249" w:lineRule="auto"/>
              <w:ind w:left="104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Constituer une collection en utilisant le comptage.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spacing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Dire</w:t>
            </w:r>
            <w:r w:rsidRPr="004270CB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le</w:t>
            </w:r>
            <w:r w:rsidRPr="004270CB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mot</w:t>
            </w:r>
            <w:r w:rsidRPr="004270CB">
              <w:rPr>
                <w:rFonts w:ascii="Liberation Sans" w:eastAsia="Arial" w:hAnsi="Liberation Sans" w:cs="Arial"/>
                <w:spacing w:val="11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nombre</w:t>
            </w:r>
            <w:r w:rsidRPr="004270CB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correspondant</w:t>
            </w:r>
            <w:r w:rsidRPr="004270CB">
              <w:rPr>
                <w:rFonts w:ascii="Liberation Sans" w:eastAsia="Arial" w:hAnsi="Liberation Sans" w:cs="Arial"/>
                <w:spacing w:val="14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au cardinal d’une collection proposée.</w:t>
            </w: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spacing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lastRenderedPageBreak/>
              <w:t>Dire</w:t>
            </w:r>
            <w:r w:rsidRPr="004270CB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le</w:t>
            </w:r>
            <w:r w:rsidRPr="004270CB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mot-nombre</w:t>
            </w:r>
            <w:r w:rsidRPr="004270CB">
              <w:rPr>
                <w:rFonts w:ascii="Liberation Sans" w:eastAsia="Arial" w:hAnsi="Liberation Sans" w:cs="Arial"/>
                <w:spacing w:val="25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correspondant</w:t>
            </w:r>
            <w:r w:rsidRPr="004270CB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</w:rPr>
              <w:t>au cardinal d’une collection (précédemment dénombrée) à laquelle, en présence de l’enfant, l’enseignant ajoute ou retire un ou plusieurs éléments.</w:t>
            </w: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4270CB" w:rsidTr="007B3A0C">
        <w:trPr>
          <w:trHeight w:val="6"/>
        </w:trPr>
        <w:tc>
          <w:tcPr>
            <w:tcW w:w="15704" w:type="dxa"/>
            <w:gridSpan w:val="3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4270CB" w:rsidRDefault="004270CB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Complète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une</w:t>
            </w:r>
            <w:r w:rsidRPr="004270CB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collection,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pour</w:t>
            </w:r>
            <w:r w:rsidRPr="004270CB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obtenir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une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collection dont le cardinal est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infér</w:t>
            </w:r>
            <w:bookmarkStart w:id="0" w:name="_GoBack"/>
            <w:bookmarkEnd w:id="0"/>
            <w:r w:rsidRPr="004270CB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ieur</w:t>
            </w:r>
            <w:r w:rsidRPr="004270CB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à</w:t>
            </w:r>
            <w:r w:rsidRPr="004270CB">
              <w:rPr>
                <w:rFonts w:ascii="Liberation Sans" w:eastAsia="Arial" w:hAnsi="Liberation Sans" w:cs="Arial"/>
                <w:color w:val="000009"/>
                <w:spacing w:val="-3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dix :</w:t>
            </w: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par manipulation effective</w:t>
            </w:r>
          </w:p>
        </w:tc>
        <w:tc>
          <w:tcPr>
            <w:tcW w:w="33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mentalement</w:t>
            </w:r>
          </w:p>
        </w:tc>
        <w:tc>
          <w:tcPr>
            <w:tcW w:w="33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214E20" w:rsidTr="007D0EA3">
        <w:trPr>
          <w:trHeight w:val="6"/>
        </w:trPr>
        <w:tc>
          <w:tcPr>
            <w:tcW w:w="15704" w:type="dxa"/>
            <w:gridSpan w:val="3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14E20" w:rsidRDefault="00214E20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Donne le cardinal d'une collection composée de sous-collections...</w:t>
            </w: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après manipulation effective</w:t>
            </w: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mentalement</w:t>
            </w: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kinsoku w:val="0"/>
              <w:overflowPunct w:val="0"/>
              <w:spacing w:after="0" w:line="249" w:lineRule="auto"/>
              <w:ind w:left="104" w:right="74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Arial" w:hAnsi="Liberation Sans" w:cs="Arial"/>
                <w:spacing w:val="-1"/>
                <w:sz w:val="20"/>
                <w:szCs w:val="20"/>
                <w:lang w:eastAsia="fr-FR"/>
              </w:rPr>
              <w:t>Verbaliser la décomposition du nombre : Ex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pacing w:val="-1"/>
                <w:sz w:val="20"/>
                <w:szCs w:val="20"/>
                <w:lang w:eastAsia="fr-FR"/>
              </w:rPr>
              <w:t>: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pacing w:val="-1"/>
                <w:sz w:val="20"/>
                <w:szCs w:val="20"/>
                <w:lang w:eastAsia="fr-FR"/>
              </w:rPr>
              <w:t>« 5 c’est 3 et</w:t>
            </w:r>
            <w:r w:rsidRPr="004270CB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 </w:t>
            </w:r>
            <w:r w:rsidRPr="004270CB">
              <w:rPr>
                <w:rFonts w:ascii="Liberation Sans" w:eastAsia="Arial" w:hAnsi="Liberation Sans" w:cs="Arial"/>
                <w:spacing w:val="-1"/>
                <w:sz w:val="20"/>
                <w:szCs w:val="20"/>
                <w:lang w:eastAsia="fr-FR"/>
              </w:rPr>
              <w:t>2 ».</w:t>
            </w: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6019D8" w:rsidTr="006019D8">
        <w:trPr>
          <w:trHeight w:val="6"/>
        </w:trPr>
        <w:tc>
          <w:tcPr>
            <w:tcW w:w="75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C59B9" w:rsidRPr="004270CB" w:rsidRDefault="009C59B9">
            <w:pPr>
              <w:kinsoku w:val="0"/>
              <w:overflowPunct w:val="0"/>
              <w:spacing w:after="0" w:line="249" w:lineRule="auto"/>
              <w:ind w:left="104" w:right="74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4270CB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Trouver toutes les décompositions possibles d'un nombre inférieur à 10.</w:t>
            </w: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9C59B9" w:rsidRDefault="009C59B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</w:tbl>
    <w:p w:rsidR="00E40268" w:rsidRDefault="00E40268">
      <w:pPr>
        <w:spacing w:after="0" w:line="240" w:lineRule="auto"/>
        <w:jc w:val="center"/>
      </w:pPr>
    </w:p>
    <w:p w:rsidR="00E40268" w:rsidRDefault="009E5EF6" w:rsidP="009E5EF6">
      <w:pPr>
        <w:spacing w:after="0" w:line="240" w:lineRule="auto"/>
        <w:jc w:val="right"/>
      </w:pPr>
      <w:r w:rsidRPr="009E5EF6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sectPr w:rsidR="00E40268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1761"/>
    <w:multiLevelType w:val="multilevel"/>
    <w:tmpl w:val="402AF8B2"/>
    <w:lvl w:ilvl="0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C67E91"/>
    <w:multiLevelType w:val="multilevel"/>
    <w:tmpl w:val="BC50B81C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99A6986"/>
    <w:multiLevelType w:val="multilevel"/>
    <w:tmpl w:val="EEA4BBC8"/>
    <w:lvl w:ilvl="0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D707B39"/>
    <w:multiLevelType w:val="multilevel"/>
    <w:tmpl w:val="1C7AFF84"/>
    <w:lvl w:ilvl="0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E54795"/>
    <w:multiLevelType w:val="multilevel"/>
    <w:tmpl w:val="D60625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68"/>
    <w:rsid w:val="0001737B"/>
    <w:rsid w:val="0018417F"/>
    <w:rsid w:val="00214E20"/>
    <w:rsid w:val="002930E2"/>
    <w:rsid w:val="004270CB"/>
    <w:rsid w:val="004D3D15"/>
    <w:rsid w:val="006019D8"/>
    <w:rsid w:val="006C053C"/>
    <w:rsid w:val="007B024B"/>
    <w:rsid w:val="009C59B9"/>
    <w:rsid w:val="009E5EF6"/>
    <w:rsid w:val="00E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C104-E3B0-4871-9649-8B5CF88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10</cp:revision>
  <cp:lastPrinted>2020-11-26T16:49:00Z</cp:lastPrinted>
  <dcterms:created xsi:type="dcterms:W3CDTF">2020-11-26T16:47:00Z</dcterms:created>
  <dcterms:modified xsi:type="dcterms:W3CDTF">2020-12-02T13:49:00Z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