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" w:tblpY="-4405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5103"/>
      </w:tblGrid>
      <w:tr w:rsidR="009C033D" w:rsidRPr="001428C9" w:rsidTr="005804C5">
        <w:trPr>
          <w:trHeight w:val="705"/>
        </w:trPr>
        <w:tc>
          <w:tcPr>
            <w:tcW w:w="886" w:type="dxa"/>
          </w:tcPr>
          <w:p w:rsidR="009C033D" w:rsidRPr="001428C9" w:rsidRDefault="009C033D" w:rsidP="007A525E"/>
        </w:tc>
        <w:tc>
          <w:tcPr>
            <w:tcW w:w="5068" w:type="dxa"/>
            <w:vAlign w:val="bottom"/>
          </w:tcPr>
          <w:p w:rsidR="009C033D" w:rsidRPr="00600699" w:rsidRDefault="009C033D" w:rsidP="007A525E"/>
        </w:tc>
        <w:tc>
          <w:tcPr>
            <w:tcW w:w="5103" w:type="dxa"/>
            <w:vMerge w:val="restart"/>
            <w:vAlign w:val="bottom"/>
          </w:tcPr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:rsidR="009C033D" w:rsidRPr="00600699" w:rsidRDefault="00265BC8" w:rsidP="007A525E">
            <w:pPr>
              <w:jc w:val="right"/>
              <w:rPr>
                <w:rFonts w:cs="Arial"/>
                <w:iCs/>
              </w:rPr>
            </w:pPr>
            <w:r>
              <w:rPr>
                <w:rFonts w:cs="Arial"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-571500</wp:posOffset>
                      </wp:positionH>
                      <wp:positionV relativeFrom="paragraph">
                        <wp:posOffset>219075</wp:posOffset>
                      </wp:positionV>
                      <wp:extent cx="4362450" cy="120967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5BC8" w:rsidRPr="00265BC8" w:rsidRDefault="00265BC8" w:rsidP="004536A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65BC8">
                                    <w:rPr>
                                      <w:b/>
                                      <w:u w:val="single"/>
                                    </w:rPr>
                                    <w:t>Annexe III</w:t>
                                  </w:r>
                                </w:p>
                                <w:p w:rsidR="00265BC8" w:rsidRDefault="00265BC8" w:rsidP="004536A2">
                                  <w:pPr>
                                    <w:pStyle w:val="Arcueil"/>
                                    <w:jc w:val="center"/>
                                  </w:pPr>
                                  <w:r w:rsidRPr="000A1D71">
                                    <w:rPr>
                                      <w:b/>
                                      <w:sz w:val="20"/>
                                    </w:rPr>
                                    <w:t>BTS Economie sociale familiale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- </w:t>
                                  </w:r>
                                  <w:r w:rsidRPr="00265BC8">
                                    <w:rPr>
                                      <w:b/>
                                      <w:sz w:val="20"/>
                                    </w:rPr>
                                    <w:t>Session 2021</w:t>
                                  </w:r>
                                </w:p>
                                <w:p w:rsidR="00265BC8" w:rsidRPr="00265BC8" w:rsidRDefault="00265BC8" w:rsidP="004536A2">
                                  <w:pPr>
                                    <w:rPr>
                                      <w:b/>
                                    </w:rPr>
                                  </w:pPr>
                                  <w:r w:rsidRPr="00265BC8">
                                    <w:rPr>
                                      <w:b/>
                                      <w:u w:val="single"/>
                                    </w:rPr>
                                    <w:t>Centre de</w:t>
                                  </w:r>
                                  <w:r w:rsidRPr="00265BC8">
                                    <w:rPr>
                                      <w:b/>
                                    </w:rPr>
                                    <w:t> :</w:t>
                                  </w:r>
                                  <w:r w:rsidR="004536A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65BC8" w:rsidRDefault="00265BC8" w:rsidP="004536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5pt;margin-top:17.25pt;width:34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" fillcolor="white [3201]" stroked="f" strokeweight=".5pt">
                      <v:textbox>
                        <w:txbxContent>
                          <w:p w:rsidR="00265BC8" w:rsidRPr="00265BC8" w:rsidRDefault="00265BC8" w:rsidP="004536A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65BC8">
                              <w:rPr>
                                <w:b/>
                                <w:u w:val="single"/>
                              </w:rPr>
                              <w:t>Annexe III</w:t>
                            </w:r>
                          </w:p>
                          <w:p w:rsidR="00265BC8" w:rsidRDefault="00265BC8" w:rsidP="004536A2">
                            <w:pPr>
                              <w:pStyle w:val="Arcueil"/>
                              <w:jc w:val="center"/>
                            </w:pPr>
                            <w:r w:rsidRPr="000A1D71">
                              <w:rPr>
                                <w:b/>
                                <w:sz w:val="20"/>
                              </w:rPr>
                              <w:t>BTS Economie sociale familiale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r w:rsidRPr="00265BC8">
                              <w:rPr>
                                <w:b/>
                                <w:sz w:val="20"/>
                              </w:rPr>
                              <w:t>Session 2021</w:t>
                            </w:r>
                          </w:p>
                          <w:p w:rsidR="00265BC8" w:rsidRPr="00265BC8" w:rsidRDefault="00265BC8" w:rsidP="004536A2">
                            <w:pPr>
                              <w:rPr>
                                <w:b/>
                              </w:rPr>
                            </w:pPr>
                            <w:r w:rsidRPr="00265BC8">
                              <w:rPr>
                                <w:b/>
                                <w:u w:val="single"/>
                              </w:rPr>
                              <w:t>Centre de</w:t>
                            </w:r>
                            <w:r w:rsidRPr="00265BC8">
                              <w:rPr>
                                <w:b/>
                              </w:rPr>
                              <w:t> :</w:t>
                            </w:r>
                            <w:r w:rsidR="004536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65BC8" w:rsidRDefault="00265BC8" w:rsidP="004536A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  <w:tr w:rsidR="009C033D" w:rsidRPr="001428C9" w:rsidTr="005804C5">
        <w:trPr>
          <w:trHeight w:val="1082"/>
        </w:trPr>
        <w:tc>
          <w:tcPr>
            <w:tcW w:w="886" w:type="dxa"/>
          </w:tcPr>
          <w:p w:rsidR="009C033D" w:rsidRPr="001428C9" w:rsidRDefault="009C033D" w:rsidP="007A525E"/>
        </w:tc>
        <w:tc>
          <w:tcPr>
            <w:tcW w:w="5068" w:type="dxa"/>
            <w:vAlign w:val="bottom"/>
          </w:tcPr>
          <w:p w:rsidR="009C033D" w:rsidRPr="00600699" w:rsidRDefault="009C033D" w:rsidP="007A525E"/>
        </w:tc>
        <w:tc>
          <w:tcPr>
            <w:tcW w:w="5103" w:type="dxa"/>
            <w:vMerge/>
            <w:vAlign w:val="bottom"/>
          </w:tcPr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</w:tbl>
    <w:p w:rsidR="00265BC8" w:rsidRDefault="00265BC8" w:rsidP="009C033D">
      <w:pPr>
        <w:spacing w:before="0" w:beforeAutospacing="0" w:after="0" w:afterAutospacing="0" w:line="240" w:lineRule="auto"/>
        <w:ind w:left="283"/>
      </w:pPr>
    </w:p>
    <w:p w:rsidR="00265BC8" w:rsidRPr="00265BC8" w:rsidRDefault="00265BC8" w:rsidP="00265BC8">
      <w:bookmarkStart w:id="0" w:name="_GoBack"/>
      <w:bookmarkEnd w:id="0"/>
    </w:p>
    <w:p w:rsidR="00265BC8" w:rsidRDefault="00265BC8" w:rsidP="004536A2">
      <w:pPr>
        <w:ind w:right="-1845"/>
      </w:pPr>
    </w:p>
    <w:p w:rsidR="00265BC8" w:rsidRPr="00265BC8" w:rsidRDefault="00265BC8" w:rsidP="00265BC8">
      <w:pPr>
        <w:spacing w:before="0" w:beforeAutospacing="0" w:after="0" w:afterAutospacing="0" w:line="240" w:lineRule="auto"/>
        <w:rPr>
          <w:rFonts w:eastAsia="Times New Roman" w:cs="Arial"/>
          <w:b/>
          <w:lang w:eastAsia="fr-FR"/>
        </w:rPr>
      </w:pPr>
      <w:r w:rsidRPr="00265BC8">
        <w:rPr>
          <w:rFonts w:eastAsia="Times New Roman" w:cs="Arial"/>
          <w:b/>
          <w:lang w:eastAsia="fr-FR"/>
        </w:rPr>
        <w:t xml:space="preserve">Grille synthétique d’évaluation </w:t>
      </w:r>
      <w:r w:rsidRPr="00265BC8">
        <w:rPr>
          <w:rFonts w:eastAsia="Times New Roman" w:cs="Arial"/>
          <w:lang w:eastAsia="fr-FR"/>
        </w:rPr>
        <w:t>(une fiche à compléter par candidat et à renvoyer à la DEC pilote à la fin des épreuves pratiques)</w:t>
      </w:r>
    </w:p>
    <w:p w:rsidR="00265BC8" w:rsidRPr="00265BC8" w:rsidRDefault="00265BC8" w:rsidP="00265BC8">
      <w:pPr>
        <w:spacing w:before="0" w:beforeAutospacing="0" w:after="0" w:afterAutospacing="0" w:line="240" w:lineRule="auto"/>
        <w:rPr>
          <w:rFonts w:eastAsia="Times New Roman" w:cs="Arial"/>
          <w:b/>
          <w:lang w:eastAsia="fr-FR"/>
        </w:rPr>
      </w:pPr>
      <w:r w:rsidRPr="00265BC8">
        <w:rPr>
          <w:rFonts w:eastAsia="Times New Roman" w:cs="Arial"/>
          <w:b/>
          <w:lang w:eastAsia="fr-FR"/>
        </w:rPr>
        <w:t>Epreuve pratique E3 – Conseil et expertise technologiques</w:t>
      </w:r>
    </w:p>
    <w:p w:rsidR="00265BC8" w:rsidRPr="00265BC8" w:rsidRDefault="00265BC8" w:rsidP="004536A2">
      <w:pPr>
        <w:spacing w:before="0" w:beforeAutospacing="0" w:after="0" w:afterAutospacing="0" w:line="240" w:lineRule="auto"/>
        <w:ind w:left="1416" w:firstLine="708"/>
        <w:jc w:val="center"/>
        <w:rPr>
          <w:rFonts w:eastAsia="Times New Roman" w:cs="Arial"/>
          <w:b/>
          <w:lang w:eastAsia="fr-FR"/>
        </w:rPr>
      </w:pPr>
      <w:r w:rsidRPr="00265BC8">
        <w:rPr>
          <w:rFonts w:eastAsia="Times New Roman" w:cs="Arial"/>
          <w:b/>
          <w:lang w:eastAsia="fr-FR"/>
        </w:rPr>
        <w:tab/>
      </w:r>
      <w:r w:rsidRPr="00265BC8">
        <w:rPr>
          <w:rFonts w:eastAsia="Times New Roman" w:cs="Arial"/>
          <w:b/>
          <w:lang w:eastAsia="fr-FR"/>
        </w:rPr>
        <w:tab/>
      </w:r>
    </w:p>
    <w:tbl>
      <w:tblPr>
        <w:tblW w:w="5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  <w:gridCol w:w="6133"/>
      </w:tblGrid>
      <w:tr w:rsidR="004536A2" w:rsidRPr="00265BC8" w:rsidTr="004536A2">
        <w:trPr>
          <w:trHeight w:val="2370"/>
        </w:trPr>
        <w:tc>
          <w:tcPr>
            <w:tcW w:w="2944" w:type="pct"/>
            <w:vAlign w:val="center"/>
          </w:tcPr>
          <w:p w:rsidR="004536A2" w:rsidRPr="004536A2" w:rsidRDefault="004536A2" w:rsidP="00265BC8">
            <w:pPr>
              <w:pStyle w:val="Arcueil"/>
              <w:spacing w:before="0" w:beforeAutospacing="0"/>
              <w:jc w:val="left"/>
              <w:rPr>
                <w:b/>
                <w:sz w:val="8"/>
                <w:u w:val="single"/>
                <w:lang w:eastAsia="fr-FR"/>
              </w:rPr>
            </w:pPr>
          </w:p>
          <w:p w:rsidR="00265BC8" w:rsidRDefault="00265BC8" w:rsidP="00265BC8">
            <w:pPr>
              <w:pStyle w:val="Arcueil"/>
              <w:spacing w:before="0" w:beforeAutospacing="0"/>
              <w:jc w:val="left"/>
              <w:rPr>
                <w:sz w:val="20"/>
                <w:lang w:eastAsia="fr-FR"/>
              </w:rPr>
            </w:pPr>
            <w:r w:rsidRPr="00265BC8">
              <w:rPr>
                <w:b/>
                <w:sz w:val="20"/>
                <w:u w:val="single"/>
                <w:lang w:eastAsia="fr-FR"/>
              </w:rPr>
              <w:t>Candidat</w:t>
            </w:r>
            <w:r>
              <w:rPr>
                <w:sz w:val="20"/>
                <w:lang w:eastAsia="fr-FR"/>
              </w:rPr>
              <w:t> :</w:t>
            </w:r>
          </w:p>
          <w:p w:rsidR="00265BC8" w:rsidRPr="00265BC8" w:rsidRDefault="00265BC8" w:rsidP="00265BC8">
            <w:pPr>
              <w:pStyle w:val="Arcueil"/>
              <w:spacing w:before="0" w:beforeAutospacing="0" w:after="0" w:afterAutospacing="0"/>
              <w:jc w:val="left"/>
              <w:rPr>
                <w:b/>
                <w:sz w:val="20"/>
                <w:lang w:eastAsia="fr-FR"/>
              </w:rPr>
            </w:pPr>
            <w:r w:rsidRPr="00265BC8">
              <w:rPr>
                <w:b/>
                <w:sz w:val="20"/>
                <w:lang w:eastAsia="fr-FR"/>
              </w:rPr>
              <w:t>Nom :</w:t>
            </w:r>
          </w:p>
          <w:p w:rsidR="00265BC8" w:rsidRPr="00265BC8" w:rsidRDefault="00265BC8" w:rsidP="00265BC8">
            <w:pPr>
              <w:pStyle w:val="Arcueil"/>
              <w:spacing w:before="0" w:beforeAutospacing="0" w:after="0" w:afterAutospacing="0"/>
              <w:jc w:val="left"/>
              <w:rPr>
                <w:b/>
                <w:sz w:val="20"/>
                <w:lang w:eastAsia="fr-FR"/>
              </w:rPr>
            </w:pPr>
            <w:r w:rsidRPr="00265BC8">
              <w:rPr>
                <w:b/>
                <w:sz w:val="20"/>
                <w:lang w:eastAsia="fr-FR"/>
              </w:rPr>
              <w:t>Prénom(s) :</w:t>
            </w:r>
          </w:p>
          <w:p w:rsidR="00265BC8" w:rsidRPr="00265BC8" w:rsidRDefault="00265BC8" w:rsidP="00265BC8">
            <w:pPr>
              <w:pStyle w:val="Arcueil"/>
              <w:spacing w:before="0" w:beforeAutospacing="0" w:after="0" w:afterAutospacing="0"/>
              <w:jc w:val="left"/>
              <w:rPr>
                <w:b/>
                <w:sz w:val="20"/>
                <w:lang w:eastAsia="fr-FR"/>
              </w:rPr>
            </w:pPr>
            <w:r w:rsidRPr="00265BC8">
              <w:rPr>
                <w:b/>
                <w:sz w:val="20"/>
                <w:lang w:eastAsia="fr-FR"/>
              </w:rPr>
              <w:t>Date de naissance :</w:t>
            </w:r>
          </w:p>
          <w:p w:rsidR="00265BC8" w:rsidRPr="00265BC8" w:rsidRDefault="00265BC8" w:rsidP="00265BC8">
            <w:pPr>
              <w:pStyle w:val="Arcueil"/>
              <w:spacing w:before="0" w:beforeAutospacing="0" w:after="0" w:afterAutospacing="0"/>
              <w:jc w:val="left"/>
              <w:rPr>
                <w:b/>
                <w:sz w:val="20"/>
                <w:lang w:eastAsia="fr-FR"/>
              </w:rPr>
            </w:pPr>
            <w:r w:rsidRPr="00265BC8">
              <w:rPr>
                <w:b/>
                <w:sz w:val="20"/>
                <w:lang w:eastAsia="fr-FR"/>
              </w:rPr>
              <w:t>N° de matricule ou d’anonymat :</w:t>
            </w:r>
          </w:p>
          <w:p w:rsidR="00265BC8" w:rsidRPr="00265BC8" w:rsidRDefault="00265BC8" w:rsidP="00265BC8">
            <w:pPr>
              <w:pStyle w:val="Arcueil"/>
              <w:jc w:val="left"/>
              <w:rPr>
                <w:sz w:val="20"/>
                <w:lang w:eastAsia="fr-FR"/>
              </w:rPr>
            </w:pPr>
          </w:p>
        </w:tc>
        <w:tc>
          <w:tcPr>
            <w:tcW w:w="2056" w:type="pct"/>
            <w:vAlign w:val="center"/>
          </w:tcPr>
          <w:p w:rsidR="00265BC8" w:rsidRDefault="00265BC8" w:rsidP="00265BC8">
            <w:pPr>
              <w:pStyle w:val="Arcueil"/>
              <w:spacing w:before="0" w:beforeAutospacing="0"/>
              <w:jc w:val="left"/>
              <w:rPr>
                <w:sz w:val="20"/>
                <w:lang w:eastAsia="fr-FR"/>
              </w:rPr>
            </w:pPr>
            <w:r w:rsidRPr="00265BC8">
              <w:rPr>
                <w:b/>
                <w:sz w:val="20"/>
                <w:u w:val="single"/>
                <w:lang w:eastAsia="fr-FR"/>
              </w:rPr>
              <w:t>Note sur 20</w:t>
            </w:r>
            <w:r>
              <w:rPr>
                <w:sz w:val="20"/>
                <w:lang w:eastAsia="fr-FR"/>
              </w:rPr>
              <w:t> :</w:t>
            </w:r>
          </w:p>
          <w:p w:rsidR="00265BC8" w:rsidRPr="00265BC8" w:rsidRDefault="00265BC8" w:rsidP="00265BC8">
            <w:pPr>
              <w:pStyle w:val="Arcueil"/>
              <w:spacing w:before="0" w:beforeAutospacing="0"/>
              <w:jc w:val="left"/>
              <w:rPr>
                <w:b/>
                <w:sz w:val="20"/>
                <w:lang w:eastAsia="fr-FR"/>
              </w:rPr>
            </w:pPr>
            <w:r w:rsidRPr="00265BC8">
              <w:rPr>
                <w:b/>
                <w:sz w:val="20"/>
                <w:lang w:eastAsia="fr-FR"/>
              </w:rPr>
              <w:t>Le</w:t>
            </w:r>
            <w:r>
              <w:rPr>
                <w:b/>
                <w:sz w:val="20"/>
                <w:lang w:eastAsia="fr-FR"/>
              </w:rPr>
              <w:t> :</w:t>
            </w:r>
          </w:p>
          <w:p w:rsidR="00265BC8" w:rsidRDefault="00265BC8" w:rsidP="00265BC8">
            <w:pPr>
              <w:pStyle w:val="Arcueil"/>
              <w:spacing w:before="0" w:beforeAutospacing="0"/>
              <w:jc w:val="left"/>
              <w:rPr>
                <w:sz w:val="20"/>
                <w:lang w:eastAsia="fr-FR"/>
              </w:rPr>
            </w:pPr>
          </w:p>
          <w:p w:rsidR="00265BC8" w:rsidRPr="00265BC8" w:rsidRDefault="00265BC8" w:rsidP="00265BC8">
            <w:pPr>
              <w:pStyle w:val="Arcueil"/>
              <w:jc w:val="left"/>
              <w:rPr>
                <w:sz w:val="20"/>
                <w:lang w:eastAsia="fr-FR"/>
              </w:rPr>
            </w:pPr>
          </w:p>
        </w:tc>
      </w:tr>
      <w:tr w:rsidR="004536A2" w:rsidRPr="00265BC8" w:rsidTr="004536A2">
        <w:trPr>
          <w:trHeight w:val="640"/>
        </w:trPr>
        <w:tc>
          <w:tcPr>
            <w:tcW w:w="2944" w:type="pct"/>
            <w:vAlign w:val="center"/>
          </w:tcPr>
          <w:p w:rsidR="004536A2" w:rsidRPr="004536A2" w:rsidRDefault="004536A2" w:rsidP="00265BC8">
            <w:pPr>
              <w:pStyle w:val="Arcueil"/>
              <w:jc w:val="left"/>
              <w:rPr>
                <w:b/>
                <w:sz w:val="8"/>
                <w:u w:val="single"/>
                <w:lang w:eastAsia="fr-FR"/>
              </w:rPr>
            </w:pPr>
          </w:p>
          <w:p w:rsidR="00265BC8" w:rsidRDefault="00265BC8" w:rsidP="00265BC8">
            <w:pPr>
              <w:pStyle w:val="Arcueil"/>
              <w:jc w:val="left"/>
              <w:rPr>
                <w:b/>
                <w:sz w:val="20"/>
                <w:lang w:eastAsia="fr-FR"/>
              </w:rPr>
            </w:pPr>
            <w:r w:rsidRPr="00265BC8">
              <w:rPr>
                <w:b/>
                <w:sz w:val="20"/>
                <w:u w:val="single"/>
                <w:lang w:eastAsia="fr-FR"/>
              </w:rPr>
              <w:t>Appréciations</w:t>
            </w:r>
            <w:r w:rsidRPr="00265BC8">
              <w:rPr>
                <w:b/>
                <w:sz w:val="20"/>
                <w:lang w:eastAsia="fr-FR"/>
              </w:rPr>
              <w:t> :</w:t>
            </w:r>
          </w:p>
          <w:p w:rsidR="004536A2" w:rsidRDefault="004536A2" w:rsidP="00265BC8">
            <w:pPr>
              <w:pStyle w:val="Arcueil"/>
              <w:jc w:val="left"/>
              <w:rPr>
                <w:b/>
                <w:sz w:val="20"/>
                <w:lang w:eastAsia="fr-FR"/>
              </w:rPr>
            </w:pPr>
          </w:p>
          <w:p w:rsidR="004536A2" w:rsidRDefault="004536A2" w:rsidP="00265BC8">
            <w:pPr>
              <w:pStyle w:val="Arcueil"/>
              <w:jc w:val="left"/>
              <w:rPr>
                <w:b/>
                <w:sz w:val="20"/>
                <w:lang w:eastAsia="fr-FR"/>
              </w:rPr>
            </w:pPr>
          </w:p>
          <w:p w:rsidR="004536A2" w:rsidRDefault="004536A2" w:rsidP="00265BC8">
            <w:pPr>
              <w:pStyle w:val="Arcueil"/>
              <w:jc w:val="left"/>
              <w:rPr>
                <w:b/>
                <w:sz w:val="20"/>
                <w:lang w:eastAsia="fr-FR"/>
              </w:rPr>
            </w:pPr>
          </w:p>
          <w:p w:rsidR="004536A2" w:rsidRPr="00265BC8" w:rsidRDefault="004536A2" w:rsidP="00265BC8">
            <w:pPr>
              <w:pStyle w:val="Arcueil"/>
              <w:jc w:val="left"/>
              <w:rPr>
                <w:b/>
                <w:sz w:val="20"/>
                <w:lang w:eastAsia="fr-FR"/>
              </w:rPr>
            </w:pPr>
          </w:p>
          <w:p w:rsidR="00265BC8" w:rsidRPr="00265BC8" w:rsidRDefault="00265BC8" w:rsidP="00265BC8">
            <w:pPr>
              <w:pStyle w:val="Arcueil"/>
              <w:jc w:val="left"/>
              <w:rPr>
                <w:sz w:val="20"/>
                <w:lang w:eastAsia="fr-FR"/>
              </w:rPr>
            </w:pPr>
          </w:p>
        </w:tc>
        <w:tc>
          <w:tcPr>
            <w:tcW w:w="2056" w:type="pct"/>
            <w:vAlign w:val="center"/>
          </w:tcPr>
          <w:p w:rsidR="004536A2" w:rsidRPr="004536A2" w:rsidRDefault="004536A2" w:rsidP="00265BC8">
            <w:pPr>
              <w:pStyle w:val="Arcueil"/>
              <w:jc w:val="left"/>
              <w:rPr>
                <w:sz w:val="8"/>
                <w:lang w:eastAsia="fr-FR"/>
              </w:rPr>
            </w:pPr>
          </w:p>
          <w:p w:rsidR="00265BC8" w:rsidRPr="004536A2" w:rsidRDefault="00265BC8" w:rsidP="00265BC8">
            <w:pPr>
              <w:pStyle w:val="Arcueil"/>
              <w:jc w:val="left"/>
              <w:rPr>
                <w:b/>
                <w:sz w:val="20"/>
                <w:lang w:eastAsia="fr-FR"/>
              </w:rPr>
            </w:pPr>
            <w:r w:rsidRPr="004536A2">
              <w:rPr>
                <w:b/>
                <w:sz w:val="20"/>
                <w:lang w:eastAsia="fr-FR"/>
              </w:rPr>
              <w:t>Jury N° :</w:t>
            </w:r>
          </w:p>
          <w:p w:rsidR="00265BC8" w:rsidRPr="004536A2" w:rsidRDefault="00265BC8" w:rsidP="00265BC8">
            <w:pPr>
              <w:pStyle w:val="Arcueil"/>
              <w:jc w:val="left"/>
              <w:rPr>
                <w:b/>
                <w:sz w:val="20"/>
                <w:lang w:eastAsia="fr-FR"/>
              </w:rPr>
            </w:pPr>
            <w:r w:rsidRPr="004536A2">
              <w:rPr>
                <w:b/>
                <w:sz w:val="20"/>
                <w:u w:val="single"/>
                <w:lang w:eastAsia="fr-FR"/>
              </w:rPr>
              <w:t>Noms et signatures des examinateurs</w:t>
            </w:r>
            <w:r w:rsidRPr="004536A2">
              <w:rPr>
                <w:b/>
                <w:sz w:val="20"/>
                <w:lang w:eastAsia="fr-FR"/>
              </w:rPr>
              <w:t> :</w:t>
            </w:r>
          </w:p>
          <w:p w:rsidR="00265BC8" w:rsidRDefault="00265BC8" w:rsidP="00265BC8">
            <w:pPr>
              <w:pStyle w:val="Arcueil"/>
              <w:jc w:val="left"/>
              <w:rPr>
                <w:sz w:val="20"/>
                <w:lang w:eastAsia="fr-FR"/>
              </w:rPr>
            </w:pPr>
          </w:p>
          <w:p w:rsidR="00265BC8" w:rsidRDefault="00265BC8" w:rsidP="00265BC8">
            <w:pPr>
              <w:pStyle w:val="Arcueil"/>
              <w:jc w:val="left"/>
              <w:rPr>
                <w:sz w:val="20"/>
                <w:lang w:eastAsia="fr-FR"/>
              </w:rPr>
            </w:pPr>
          </w:p>
          <w:p w:rsidR="00265BC8" w:rsidRDefault="00265BC8" w:rsidP="00265BC8">
            <w:pPr>
              <w:pStyle w:val="Arcueil"/>
              <w:jc w:val="left"/>
              <w:rPr>
                <w:sz w:val="20"/>
                <w:lang w:eastAsia="fr-FR"/>
              </w:rPr>
            </w:pPr>
          </w:p>
          <w:p w:rsidR="004536A2" w:rsidRPr="00265BC8" w:rsidRDefault="004536A2" w:rsidP="00265BC8">
            <w:pPr>
              <w:pStyle w:val="Arcueil"/>
              <w:jc w:val="left"/>
              <w:rPr>
                <w:sz w:val="20"/>
                <w:lang w:eastAsia="fr-FR"/>
              </w:rPr>
            </w:pPr>
          </w:p>
        </w:tc>
      </w:tr>
    </w:tbl>
    <w:p w:rsidR="00265BC8" w:rsidRPr="00265BC8" w:rsidRDefault="00265BC8" w:rsidP="004536A2">
      <w:pPr>
        <w:ind w:right="-1987"/>
      </w:pPr>
    </w:p>
    <w:sectPr w:rsidR="00265BC8" w:rsidRPr="00265BC8" w:rsidSect="00265BC8">
      <w:headerReference w:type="default" r:id="rId8"/>
      <w:footerReference w:type="default" r:id="rId9"/>
      <w:pgSz w:w="16838" w:h="11906" w:orient="landscape"/>
      <w:pgMar w:top="964" w:right="2835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5D" w:rsidRDefault="0034655D" w:rsidP="000F5C7E">
      <w:pPr>
        <w:spacing w:before="0" w:after="0"/>
      </w:pPr>
      <w:r>
        <w:separator/>
      </w:r>
    </w:p>
  </w:endnote>
  <w:endnote w:type="continuationSeparator" w:id="0">
    <w:p w:rsidR="0034655D" w:rsidRDefault="0034655D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F" w:rsidRDefault="00CF56BF" w:rsidP="00CF56BF">
    <w:pPr>
      <w:pStyle w:val="Pieddepage"/>
    </w:pPr>
  </w:p>
  <w:p w:rsidR="00CF56BF" w:rsidRDefault="00D26EB5" w:rsidP="00CF56BF">
    <w:pPr>
      <w:pStyle w:val="Pieddepage"/>
    </w:pPr>
    <w:r>
      <w:t xml:space="preserve">SIEC – maison des examens </w:t>
    </w:r>
    <w:r>
      <w:br/>
    </w:r>
    <w:r w:rsidR="00B03DF3">
      <w:t>7</w:t>
    </w:r>
    <w:r w:rsidR="00CF56BF">
      <w:t xml:space="preserve"> rue Ernest Renan</w:t>
    </w:r>
  </w:p>
  <w:p w:rsidR="00F67569" w:rsidRDefault="00CF56BF" w:rsidP="00CF56BF">
    <w:pPr>
      <w:pStyle w:val="Pieddepage"/>
    </w:pPr>
    <w:r>
      <w:t>94749 ARCUEIL CEDEX</w:t>
    </w:r>
    <w:r w:rsidR="00F6756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14BABC6" wp14:editId="5F09B2B4">
              <wp:simplePos x="0" y="0"/>
              <wp:positionH relativeFrom="margin">
                <wp:align>center</wp:align>
              </wp:positionH>
              <wp:positionV relativeFrom="page">
                <wp:posOffset>9890125</wp:posOffset>
              </wp:positionV>
              <wp:extent cx="532800" cy="230400"/>
              <wp:effectExtent l="0" t="0" r="63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67569" w:rsidRPr="00AD09F4" w:rsidRDefault="00F67569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09F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09F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BABC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778.75pt;width:41.95pt;height:18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" fillcolor="white [3201]" stroked="f" strokeweight=".5pt">
              <v:textbox>
                <w:txbxContent>
                  <w:p w:rsidR="00F67569" w:rsidRPr="00AD09F4" w:rsidRDefault="00F67569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DB09F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DB09F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67569">
      <w:rPr>
        <w:noProof/>
        <w:lang w:eastAsia="fr-FR"/>
      </w:rPr>
      <w:drawing>
        <wp:anchor distT="0" distB="0" distL="114300" distR="114300" simplePos="0" relativeHeight="251670528" behindDoc="1" locked="1" layoutInCell="1" allowOverlap="1" wp14:anchorId="12199330" wp14:editId="7A304C36">
          <wp:simplePos x="0" y="0"/>
          <wp:positionH relativeFrom="page">
            <wp:posOffset>8842375</wp:posOffset>
          </wp:positionH>
          <wp:positionV relativeFrom="paragraph">
            <wp:posOffset>-212725</wp:posOffset>
          </wp:positionV>
          <wp:extent cx="1763395" cy="90297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5D" w:rsidRDefault="0034655D" w:rsidP="000F5C7E">
      <w:pPr>
        <w:spacing w:before="0" w:after="0"/>
      </w:pPr>
      <w:r>
        <w:separator/>
      </w:r>
    </w:p>
  </w:footnote>
  <w:footnote w:type="continuationSeparator" w:id="0">
    <w:p w:rsidR="0034655D" w:rsidRDefault="0034655D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9E5064A" wp14:editId="722F113B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2B50829" wp14:editId="4606CCF5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hd w:val="clear" w:color="auto" w:fill="FFFFFF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D87BB6"/>
    <w:multiLevelType w:val="multilevel"/>
    <w:tmpl w:val="B05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90A"/>
    <w:multiLevelType w:val="hybridMultilevel"/>
    <w:tmpl w:val="601ECF46"/>
    <w:lvl w:ilvl="0" w:tplc="B6D6BDB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896"/>
    <w:multiLevelType w:val="hybridMultilevel"/>
    <w:tmpl w:val="FDA40BFC"/>
    <w:lvl w:ilvl="0" w:tplc="874A87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F18A7"/>
    <w:multiLevelType w:val="hybridMultilevel"/>
    <w:tmpl w:val="709EEB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185B1E"/>
    <w:multiLevelType w:val="multilevel"/>
    <w:tmpl w:val="96CA6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CD66E9"/>
    <w:multiLevelType w:val="hybridMultilevel"/>
    <w:tmpl w:val="44C80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144EF"/>
    <w:multiLevelType w:val="hybridMultilevel"/>
    <w:tmpl w:val="93F0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9"/>
    <w:rsid w:val="00057C97"/>
    <w:rsid w:val="00065ED6"/>
    <w:rsid w:val="00093302"/>
    <w:rsid w:val="000E3443"/>
    <w:rsid w:val="000F5C7E"/>
    <w:rsid w:val="001064DC"/>
    <w:rsid w:val="00196E93"/>
    <w:rsid w:val="001D7C16"/>
    <w:rsid w:val="001E1C4D"/>
    <w:rsid w:val="002062EC"/>
    <w:rsid w:val="0024718D"/>
    <w:rsid w:val="00265BC8"/>
    <w:rsid w:val="0030081B"/>
    <w:rsid w:val="00317AE6"/>
    <w:rsid w:val="0034655D"/>
    <w:rsid w:val="0039265B"/>
    <w:rsid w:val="003E0CE4"/>
    <w:rsid w:val="004536A2"/>
    <w:rsid w:val="00471768"/>
    <w:rsid w:val="00475C92"/>
    <w:rsid w:val="004E1A70"/>
    <w:rsid w:val="005142CB"/>
    <w:rsid w:val="00536370"/>
    <w:rsid w:val="00560C7D"/>
    <w:rsid w:val="00574B54"/>
    <w:rsid w:val="005804C5"/>
    <w:rsid w:val="005C7515"/>
    <w:rsid w:val="00613757"/>
    <w:rsid w:val="006471CE"/>
    <w:rsid w:val="00670D99"/>
    <w:rsid w:val="0068293E"/>
    <w:rsid w:val="006A7AE6"/>
    <w:rsid w:val="0071253C"/>
    <w:rsid w:val="0071590D"/>
    <w:rsid w:val="0072142E"/>
    <w:rsid w:val="00743BA8"/>
    <w:rsid w:val="00767828"/>
    <w:rsid w:val="007A7489"/>
    <w:rsid w:val="007C78B1"/>
    <w:rsid w:val="00806173"/>
    <w:rsid w:val="00830D71"/>
    <w:rsid w:val="0085451B"/>
    <w:rsid w:val="008877AA"/>
    <w:rsid w:val="009A38AC"/>
    <w:rsid w:val="009C033D"/>
    <w:rsid w:val="00A03608"/>
    <w:rsid w:val="00A43528"/>
    <w:rsid w:val="00A8513E"/>
    <w:rsid w:val="00B023FF"/>
    <w:rsid w:val="00B03DF3"/>
    <w:rsid w:val="00B63224"/>
    <w:rsid w:val="00C37962"/>
    <w:rsid w:val="00C43D30"/>
    <w:rsid w:val="00CA6830"/>
    <w:rsid w:val="00CF56BF"/>
    <w:rsid w:val="00D21208"/>
    <w:rsid w:val="00D26EB5"/>
    <w:rsid w:val="00D274FD"/>
    <w:rsid w:val="00D83303"/>
    <w:rsid w:val="00DA6EB5"/>
    <w:rsid w:val="00DB09FF"/>
    <w:rsid w:val="00DB4B34"/>
    <w:rsid w:val="00DC2E6C"/>
    <w:rsid w:val="00E36569"/>
    <w:rsid w:val="00E8153E"/>
    <w:rsid w:val="00EA39F3"/>
    <w:rsid w:val="00EC02E6"/>
    <w:rsid w:val="00F23C41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FF5382B-8D9B-4647-8424-C8F4DB7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5B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  <w:style w:type="paragraph" w:styleId="Paragraphedeliste">
    <w:name w:val="List Paragraph"/>
    <w:basedOn w:val="Normal"/>
    <w:uiPriority w:val="34"/>
    <w:qFormat/>
    <w:rsid w:val="009C033D"/>
    <w:pPr>
      <w:spacing w:before="0" w:beforeAutospacing="0" w:after="0" w:afterAutospacing="0" w:line="240" w:lineRule="auto"/>
      <w:ind w:left="720"/>
      <w:contextualSpacing/>
    </w:pPr>
    <w:rPr>
      <w:rFonts w:eastAsia="Times New Roman"/>
      <w:iCs/>
      <w:color w:val="262626" w:themeColor="text1" w:themeTint="D9"/>
      <w:lang w:val="en-US" w:bidi="en-US"/>
    </w:rPr>
  </w:style>
  <w:style w:type="character" w:styleId="Lienhypertexte">
    <w:name w:val="Hyperlink"/>
    <w:uiPriority w:val="99"/>
    <w:unhideWhenUsed/>
    <w:rsid w:val="009C033D"/>
    <w:rPr>
      <w:color w:val="0563C1"/>
      <w:u w:val="single"/>
    </w:rPr>
  </w:style>
  <w:style w:type="paragraph" w:styleId="Retraitcorpsdetexte">
    <w:name w:val="Body Text Indent"/>
    <w:basedOn w:val="Normal"/>
    <w:link w:val="RetraitcorpsdetexteCar"/>
    <w:rsid w:val="009C033D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C033D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65BC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\AppData\Local\Temp\Mod&#232;le%20de%20lettr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CADE-77AB-45B5-BA03-25B2AF1A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LIBAUDE Severine</dc:creator>
  <cp:keywords/>
  <dc:description/>
  <cp:lastModifiedBy>Le Gallic Clara</cp:lastModifiedBy>
  <cp:revision>2</cp:revision>
  <cp:lastPrinted>2020-07-07T13:32:00Z</cp:lastPrinted>
  <dcterms:created xsi:type="dcterms:W3CDTF">2021-01-25T09:29:00Z</dcterms:created>
  <dcterms:modified xsi:type="dcterms:W3CDTF">2021-01-25T09:29:00Z</dcterms:modified>
</cp:coreProperties>
</file>