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6D9F" w14:textId="36C10429" w:rsidR="0077378B" w:rsidRPr="0090052F" w:rsidRDefault="0003078D" w:rsidP="001E1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0" w:line="276" w:lineRule="auto"/>
        <w:jc w:val="center"/>
        <w:rPr>
          <w:rFonts w:ascii="Arial,Bold" w:hAnsi="Arial,Bold"/>
          <w:b/>
          <w:bCs/>
          <w:color w:val="167F8C"/>
          <w:sz w:val="28"/>
          <w:szCs w:val="28"/>
        </w:rPr>
      </w:pPr>
      <w:r>
        <w:rPr>
          <w:noProof/>
        </w:rPr>
        <w:pict w14:anchorId="2C3E82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left:0;text-align:left;margin-left:0;margin-top:0;width:50pt;height:50pt;z-index:251659776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  <w:pict w14:anchorId="751DBC33">
          <v:shape id="_x0000_s1027" type="#_x0000_t136" alt="" style="position:absolute;left:0;text-align:left;margin-left:0;margin-top:0;width:50pt;height:50pt;z-index:251660800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  <w:pict w14:anchorId="10C9EA5D">
          <v:shape id="_x0000_s1026" type="#_x0000_t136" alt="" style="position:absolute;left:0;text-align:left;margin-left:0;margin-top:0;width:50pt;height:50pt;z-index:251661824;visibility:hidden;mso-wrap-edited:f;mso-width-percent:0;mso-height-percent:0;mso-width-percent:0;mso-height-percent:0">
            <o:lock v:ext="edit" selection="t"/>
          </v:shape>
        </w:pict>
      </w:r>
      <w:bookmarkStart w:id="0" w:name="_heading=h.gjdgxs" w:colFirst="0" w:colLast="0"/>
      <w:bookmarkStart w:id="1" w:name="_Hlk83479842"/>
      <w:bookmarkEnd w:id="0"/>
      <w:r w:rsidR="0077378B" w:rsidRPr="0090052F">
        <w:rPr>
          <w:rFonts w:ascii="Arial,Bold" w:hAnsi="Arial,Bold"/>
          <w:b/>
          <w:bCs/>
          <w:color w:val="167F8C"/>
          <w:sz w:val="28"/>
          <w:szCs w:val="28"/>
        </w:rPr>
        <w:t xml:space="preserve">Enseignement de spécialité – </w:t>
      </w:r>
      <w:r w:rsidR="0069746F" w:rsidRPr="0090052F">
        <w:rPr>
          <w:rFonts w:ascii="Arial,Bold" w:hAnsi="Arial,Bold"/>
          <w:b/>
          <w:bCs/>
          <w:color w:val="167F8C"/>
          <w:sz w:val="28"/>
          <w:szCs w:val="28"/>
        </w:rPr>
        <w:t>Éducation</w:t>
      </w:r>
      <w:r w:rsidR="0077378B" w:rsidRPr="0090052F">
        <w:rPr>
          <w:rFonts w:ascii="Arial,Bold" w:hAnsi="Arial,Bold"/>
          <w:b/>
          <w:bCs/>
          <w:color w:val="167F8C"/>
          <w:sz w:val="28"/>
          <w:szCs w:val="28"/>
        </w:rPr>
        <w:t xml:space="preserve"> Physique, Pratiques et Culture Sportives</w:t>
      </w:r>
    </w:p>
    <w:bookmarkEnd w:id="1"/>
    <w:p w14:paraId="564F8EAE" w14:textId="57C5D6E0" w:rsidR="00E64D0C" w:rsidRPr="0077378B" w:rsidRDefault="0077378B" w:rsidP="001E1A2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320"/>
        <w:jc w:val="center"/>
        <w:rPr>
          <w:rFonts w:ascii="Arial,Bold" w:eastAsia="Times New Roman" w:hAnsi="Arial,Bold"/>
          <w:b/>
          <w:bCs/>
          <w:color w:val="167F8C"/>
          <w:sz w:val="28"/>
          <w:szCs w:val="28"/>
        </w:rPr>
      </w:pPr>
      <w:r w:rsidRPr="0077378B">
        <w:rPr>
          <w:rFonts w:ascii="Arial,Bold" w:eastAsia="Times New Roman" w:hAnsi="Arial,Bold"/>
          <w:b/>
          <w:bCs/>
          <w:color w:val="167F8C"/>
          <w:sz w:val="28"/>
          <w:szCs w:val="28"/>
        </w:rPr>
        <w:t>Champ d’apprentissage n°3 :</w:t>
      </w:r>
      <w:r w:rsidR="00D8398A" w:rsidRPr="0077378B">
        <w:rPr>
          <w:rFonts w:ascii="Arial,Bold" w:eastAsia="Times New Roman" w:hAnsi="Arial,Bold"/>
          <w:b/>
          <w:bCs/>
          <w:color w:val="167F8C"/>
          <w:sz w:val="28"/>
          <w:szCs w:val="28"/>
        </w:rPr>
        <w:t xml:space="preserve"> « Réaliser une prestation corporelle destinée à être vue et appréciée »</w:t>
      </w:r>
    </w:p>
    <w:p w14:paraId="45219F5F" w14:textId="342BCE18" w:rsidR="00E64D0C" w:rsidRDefault="00E64D0C">
      <w:pPr>
        <w:spacing w:after="160" w:line="259" w:lineRule="auto"/>
        <w:rPr>
          <w:rFonts w:ascii="Arial" w:eastAsia="Arial" w:hAnsi="Arial" w:cs="Arial"/>
          <w:sz w:val="28"/>
          <w:szCs w:val="28"/>
        </w:rPr>
      </w:pPr>
    </w:p>
    <w:p w14:paraId="397EC70E" w14:textId="61CA18E0" w:rsidR="00597FE4" w:rsidRPr="006F149B" w:rsidRDefault="00597FE4" w:rsidP="00597FE4">
      <w:pPr>
        <w:spacing w:after="120"/>
        <w:rPr>
          <w:b/>
          <w:bCs/>
        </w:rPr>
      </w:pPr>
      <w:r w:rsidRPr="006F149B">
        <w:rPr>
          <w:rFonts w:ascii="Arial" w:hAnsi="Arial" w:cs="Arial"/>
          <w:b/>
          <w:bCs/>
          <w:color w:val="167F8C"/>
        </w:rPr>
        <w:t>Principe d’élaboration des épreuves du champ d’apprentissage</w:t>
      </w:r>
      <w:r w:rsidRPr="006F149B">
        <w:rPr>
          <w:b/>
          <w:bCs/>
        </w:rPr>
        <w:t xml:space="preserve"> </w:t>
      </w:r>
    </w:p>
    <w:p w14:paraId="56F87D4C" w14:textId="3D905362" w:rsidR="00F73C1A" w:rsidRPr="00F73C1A" w:rsidRDefault="00F73C1A" w:rsidP="00666394">
      <w:pPr>
        <w:pStyle w:val="Sansinterligne"/>
        <w:rPr>
          <w:rFonts w:ascii="Arial" w:eastAsia="Arial" w:hAnsi="Arial" w:cs="Arial"/>
          <w:sz w:val="22"/>
          <w:szCs w:val="22"/>
        </w:rPr>
      </w:pPr>
      <w:r w:rsidRPr="00F73C1A">
        <w:rPr>
          <w:rFonts w:ascii="Arial" w:eastAsia="Arial" w:hAnsi="Arial" w:cs="Arial"/>
          <w:sz w:val="22"/>
          <w:szCs w:val="22"/>
        </w:rPr>
        <w:t xml:space="preserve">L’épreuve d’évaluation </w:t>
      </w:r>
      <w:r w:rsidR="001862DF">
        <w:rPr>
          <w:rFonts w:ascii="Arial" w:eastAsia="Arial" w:hAnsi="Arial" w:cs="Arial"/>
          <w:sz w:val="22"/>
          <w:szCs w:val="22"/>
        </w:rPr>
        <w:t>pour</w:t>
      </w:r>
      <w:r w:rsidR="00597FE4">
        <w:rPr>
          <w:rFonts w:ascii="Arial" w:eastAsia="Arial" w:hAnsi="Arial" w:cs="Arial"/>
          <w:sz w:val="22"/>
          <w:szCs w:val="22"/>
        </w:rPr>
        <w:t xml:space="preserve"> l’APSA </w:t>
      </w:r>
      <w:r w:rsidRPr="00F73C1A">
        <w:rPr>
          <w:rFonts w:ascii="Arial" w:eastAsia="Arial" w:hAnsi="Arial" w:cs="Arial"/>
          <w:sz w:val="22"/>
          <w:szCs w:val="22"/>
        </w:rPr>
        <w:t xml:space="preserve">est proposée par l’équipe pédagogique de l’établissement de manière à évaluer l’AFL </w:t>
      </w:r>
      <w:r w:rsidRPr="00F73C1A">
        <w:rPr>
          <w:rFonts w:ascii="Arial" w:hAnsi="Arial" w:cs="Arial"/>
          <w:sz w:val="22"/>
          <w:szCs w:val="22"/>
        </w:rPr>
        <w:t>« S’engager pour composer et réaliser un enchaînement à visée esthétique ou acrobatique destiné à être jugé, en combinant des formes corporelles codifiées » ou l’AFL</w:t>
      </w:r>
      <w:r w:rsidR="00666394">
        <w:rPr>
          <w:rFonts w:ascii="Arial" w:hAnsi="Arial" w:cs="Arial"/>
          <w:sz w:val="22"/>
          <w:szCs w:val="22"/>
        </w:rPr>
        <w:t xml:space="preserve"> </w:t>
      </w:r>
      <w:r w:rsidRPr="00F73C1A">
        <w:rPr>
          <w:rFonts w:ascii="Arial" w:hAnsi="Arial" w:cs="Arial"/>
          <w:sz w:val="22"/>
          <w:szCs w:val="22"/>
        </w:rPr>
        <w:t xml:space="preserve">« S’engager pour composer et interpréter une chorégraphie collective, selon un projet artistique en mobilisant une motricité expressive et des procédés de </w:t>
      </w:r>
      <w:r w:rsidRPr="001E1A2B">
        <w:rPr>
          <w:rFonts w:ascii="Arial" w:hAnsi="Arial" w:cs="Arial"/>
          <w:sz w:val="22"/>
          <w:szCs w:val="22"/>
        </w:rPr>
        <w:t>compositio</w:t>
      </w:r>
      <w:r w:rsidR="00A558F6" w:rsidRPr="001E1A2B">
        <w:rPr>
          <w:rFonts w:ascii="Arial" w:hAnsi="Arial" w:cs="Arial"/>
          <w:sz w:val="22"/>
          <w:szCs w:val="22"/>
        </w:rPr>
        <w:t>n »</w:t>
      </w:r>
      <w:r w:rsidR="00A558F6">
        <w:rPr>
          <w:rFonts w:ascii="Arial" w:hAnsi="Arial" w:cs="Arial"/>
          <w:sz w:val="22"/>
          <w:szCs w:val="22"/>
        </w:rPr>
        <w:t> </w:t>
      </w:r>
    </w:p>
    <w:p w14:paraId="15EBAE18" w14:textId="19F2B8B3" w:rsidR="00F73C1A" w:rsidRPr="00F73C1A" w:rsidRDefault="00F73C1A" w:rsidP="00F73C1A">
      <w:pPr>
        <w:rPr>
          <w:rFonts w:ascii="Arial" w:eastAsia="Arial" w:hAnsi="Arial" w:cs="Arial"/>
          <w:sz w:val="22"/>
          <w:szCs w:val="22"/>
        </w:rPr>
      </w:pPr>
      <w:r w:rsidRPr="00F73C1A">
        <w:rPr>
          <w:rFonts w:ascii="Arial" w:eastAsia="Arial" w:hAnsi="Arial" w:cs="Arial"/>
          <w:sz w:val="22"/>
          <w:szCs w:val="22"/>
        </w:rPr>
        <w:t>L’épreuve respecte les principes d’élaboration du référentiel national du champ d’apprentissage</w:t>
      </w:r>
      <w:r w:rsidR="00597FE4">
        <w:rPr>
          <w:rFonts w:ascii="Arial" w:eastAsia="Arial" w:hAnsi="Arial" w:cs="Arial"/>
          <w:sz w:val="22"/>
          <w:szCs w:val="22"/>
        </w:rPr>
        <w:t> :</w:t>
      </w:r>
    </w:p>
    <w:p w14:paraId="4A3F7AF0" w14:textId="534FAD22" w:rsidR="00597FE4" w:rsidRPr="00597FE4" w:rsidRDefault="00597FE4" w:rsidP="00597FE4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597FE4">
        <w:rPr>
          <w:rFonts w:ascii="Arial" w:eastAsia="Arial" w:hAnsi="Arial" w:cs="Arial"/>
          <w:sz w:val="22"/>
          <w:szCs w:val="22"/>
        </w:rPr>
        <w:t>L’épreuve engage le candidat à présenter une composition collective ou individuelle devant un public.</w:t>
      </w:r>
    </w:p>
    <w:p w14:paraId="005C19AA" w14:textId="5148B4B1" w:rsidR="00597FE4" w:rsidRPr="00597FE4" w:rsidRDefault="00597FE4" w:rsidP="00597FE4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2"/>
          <w:szCs w:val="22"/>
          <w:shd w:val="clear" w:color="auto" w:fill="FF9900"/>
        </w:rPr>
      </w:pPr>
      <w:r w:rsidRPr="00597FE4">
        <w:rPr>
          <w:rFonts w:ascii="Arial" w:eastAsia="Arial" w:hAnsi="Arial" w:cs="Arial"/>
          <w:sz w:val="22"/>
          <w:szCs w:val="22"/>
        </w:rPr>
        <w:t xml:space="preserve">Un seul passage est autorisé excepté au saut de cheval où 2 tentatives sont permises pour chacun des sauts choisis. </w:t>
      </w:r>
    </w:p>
    <w:p w14:paraId="68514561" w14:textId="59D16626" w:rsidR="00597FE4" w:rsidRPr="00597FE4" w:rsidRDefault="00597FE4" w:rsidP="00597FE4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597FE4">
        <w:rPr>
          <w:rFonts w:ascii="Arial" w:eastAsia="Arial" w:hAnsi="Arial" w:cs="Arial"/>
          <w:sz w:val="22"/>
          <w:szCs w:val="22"/>
        </w:rPr>
        <w:t>Le cadre de l’épreuve est défini par l’équipe</w:t>
      </w:r>
      <w:r w:rsidR="0064055E">
        <w:rPr>
          <w:rFonts w:ascii="Arial" w:eastAsia="Arial" w:hAnsi="Arial" w:cs="Arial"/>
          <w:sz w:val="22"/>
          <w:szCs w:val="22"/>
        </w:rPr>
        <w:t xml:space="preserve"> pédagogique</w:t>
      </w:r>
      <w:r w:rsidRPr="00597FE4">
        <w:rPr>
          <w:rFonts w:ascii="Arial" w:eastAsia="Arial" w:hAnsi="Arial" w:cs="Arial"/>
          <w:sz w:val="22"/>
          <w:szCs w:val="22"/>
        </w:rPr>
        <w:t> : espace de pratique, durée (minimale à maximale</w:t>
      </w:r>
      <w:r w:rsidR="00E20E93">
        <w:rPr>
          <w:rFonts w:ascii="Arial" w:eastAsia="Arial" w:hAnsi="Arial" w:cs="Arial"/>
          <w:sz w:val="22"/>
          <w:szCs w:val="22"/>
        </w:rPr>
        <w:t> ;</w:t>
      </w:r>
      <w:r w:rsidRPr="00597FE4">
        <w:rPr>
          <w:rFonts w:ascii="Arial" w:eastAsia="Arial" w:hAnsi="Arial" w:cs="Arial"/>
          <w:sz w:val="22"/>
          <w:szCs w:val="22"/>
        </w:rPr>
        <w:t xml:space="preserve"> et suffisante pour révéler l’AFL)</w:t>
      </w:r>
      <w:r w:rsidRPr="00597FE4">
        <w:rPr>
          <w:rFonts w:ascii="Arial" w:eastAsia="Arial" w:hAnsi="Arial" w:cs="Arial"/>
          <w:b/>
          <w:sz w:val="22"/>
          <w:szCs w:val="22"/>
        </w:rPr>
        <w:t>,</w:t>
      </w:r>
      <w:r w:rsidRPr="00597FE4">
        <w:rPr>
          <w:rFonts w:ascii="Arial" w:eastAsia="Arial" w:hAnsi="Arial" w:cs="Arial"/>
          <w:sz w:val="22"/>
          <w:szCs w:val="22"/>
        </w:rPr>
        <w:t xml:space="preserve"> environnement sonore, tenue, éléments scénographiques, accessoires, nombre d’élèves maximal dans le groupe. </w:t>
      </w:r>
    </w:p>
    <w:p w14:paraId="69D947C6" w14:textId="73ABC638" w:rsidR="00597FE4" w:rsidRPr="00597FE4" w:rsidRDefault="00597FE4" w:rsidP="00597FE4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597FE4">
        <w:rPr>
          <w:rFonts w:ascii="Arial" w:eastAsia="Arial" w:hAnsi="Arial" w:cs="Arial"/>
          <w:sz w:val="22"/>
          <w:szCs w:val="22"/>
        </w:rPr>
        <w:t xml:space="preserve">Les projets de composition sont présentés avant l’épreuve par les élèves, à l’oral ou à l’écrit (exemples : titre, thème, propos, enchaînement, …) </w:t>
      </w:r>
    </w:p>
    <w:p w14:paraId="64985503" w14:textId="3B3DEF36" w:rsidR="00F73C1A" w:rsidRDefault="00F73C1A" w:rsidP="00F73C1A">
      <w:pPr>
        <w:spacing w:before="10" w:after="10"/>
        <w:rPr>
          <w:rFonts w:ascii="Arial" w:eastAsia="Times New Roman" w:hAnsi="Arial" w:cs="Arial"/>
          <w:sz w:val="16"/>
          <w:szCs w:val="16"/>
        </w:rPr>
      </w:pPr>
    </w:p>
    <w:p w14:paraId="520EC43B" w14:textId="77777777" w:rsidR="00666394" w:rsidRDefault="00666394" w:rsidP="00F73C1A">
      <w:pPr>
        <w:spacing w:before="10" w:after="10"/>
        <w:rPr>
          <w:rFonts w:ascii="Arial" w:eastAsia="Times New Roman" w:hAnsi="Arial" w:cs="Arial"/>
          <w:sz w:val="16"/>
          <w:szCs w:val="16"/>
        </w:rPr>
      </w:pPr>
    </w:p>
    <w:p w14:paraId="43024887" w14:textId="77777777" w:rsidR="00F73C1A" w:rsidRPr="0090052F" w:rsidRDefault="00F73C1A" w:rsidP="00F73C1A">
      <w:pPr>
        <w:spacing w:after="120"/>
        <w:rPr>
          <w:rFonts w:ascii="Arial" w:eastAsiaTheme="minorEastAsia" w:hAnsi="Arial" w:cs="Arial"/>
          <w:b/>
          <w:bCs/>
          <w:color w:val="167F8C"/>
          <w:szCs w:val="24"/>
        </w:rPr>
      </w:pPr>
      <w:r w:rsidRPr="0090052F">
        <w:rPr>
          <w:rFonts w:ascii="Arial" w:eastAsiaTheme="minorEastAsia" w:hAnsi="Arial" w:cs="Arial"/>
          <w:b/>
          <w:bCs/>
          <w:color w:val="167F8C"/>
          <w:szCs w:val="24"/>
        </w:rPr>
        <w:t xml:space="preserve">Conditions de passation de l’épreuve </w:t>
      </w:r>
    </w:p>
    <w:p w14:paraId="49A54739" w14:textId="77777777" w:rsidR="00F73C1A" w:rsidRPr="00321C94" w:rsidRDefault="00F73C1A" w:rsidP="00F73C1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color w:val="000000" w:themeColor="text1"/>
          <w:sz w:val="22"/>
          <w:szCs w:val="22"/>
        </w:rPr>
        <w:t>Le temps total de l’épreuve (échauffement compris) ne peut pas excéder 2 heures.</w:t>
      </w:r>
    </w:p>
    <w:p w14:paraId="64AA29ED" w14:textId="77777777" w:rsidR="00F73C1A" w:rsidRPr="00321C94" w:rsidRDefault="00F73C1A" w:rsidP="00F73C1A">
      <w:pPr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color w:val="000000" w:themeColor="text1"/>
          <w:sz w:val="22"/>
          <w:szCs w:val="22"/>
        </w:rPr>
        <w:t>Les candidats disposent d’un temps d’échauffement maximum de 30 minutes.</w:t>
      </w:r>
    </w:p>
    <w:p w14:paraId="6F17493A" w14:textId="77777777" w:rsidR="00F73C1A" w:rsidRPr="00321C94" w:rsidDel="003B6249" w:rsidRDefault="00F73C1A" w:rsidP="00F73C1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color w:val="000000" w:themeColor="text1"/>
          <w:sz w:val="22"/>
          <w:szCs w:val="22"/>
        </w:rPr>
        <w:t>Plusieurs élèves peuvent être observés en même temps.</w:t>
      </w:r>
    </w:p>
    <w:p w14:paraId="0BAE0A48" w14:textId="706F8847" w:rsidR="00F73C1A" w:rsidRDefault="00597FE4" w:rsidP="00F73C1A">
      <w:pPr>
        <w:spacing w:before="10" w:after="10"/>
        <w:rPr>
          <w:rFonts w:ascii="Arial" w:eastAsia="Times New Roman" w:hAnsi="Arial" w:cs="Arial"/>
          <w:sz w:val="16"/>
          <w:szCs w:val="16"/>
        </w:rPr>
      </w:pPr>
      <w:r w:rsidRPr="00597FE4">
        <w:rPr>
          <w:rFonts w:ascii="Arial" w:eastAsia="Arial" w:hAnsi="Arial" w:cs="Arial"/>
          <w:sz w:val="22"/>
          <w:szCs w:val="22"/>
        </w:rPr>
        <w:t>Un (ou des partenaires) peut (peuvent) compléter un groupe de candidats pour l’évaluation. Ils sont choisis prioritairement dans l’enseignement de spécialité, et exclusivement parmi les élèves du lycée</w:t>
      </w:r>
      <w:r>
        <w:rPr>
          <w:rFonts w:ascii="Arial" w:eastAsia="Arial" w:hAnsi="Arial" w:cs="Arial"/>
          <w:sz w:val="22"/>
          <w:szCs w:val="22"/>
        </w:rPr>
        <w:t>.</w:t>
      </w:r>
    </w:p>
    <w:p w14:paraId="2ECD1B23" w14:textId="68C0DB92" w:rsidR="00F73C1A" w:rsidRDefault="00597FE4" w:rsidP="00F73C1A">
      <w:pPr>
        <w:spacing w:before="10" w:after="10"/>
        <w:rPr>
          <w:rFonts w:ascii="Arial" w:eastAsia="Arial" w:hAnsi="Arial" w:cs="Arial"/>
          <w:sz w:val="22"/>
          <w:szCs w:val="22"/>
        </w:rPr>
      </w:pPr>
      <w:r w:rsidRPr="00597FE4">
        <w:rPr>
          <w:rFonts w:ascii="Arial" w:eastAsia="Arial" w:hAnsi="Arial" w:cs="Arial"/>
          <w:sz w:val="22"/>
          <w:szCs w:val="22"/>
        </w:rPr>
        <w:t>Le public peut être issu de la classe, du groupe ou élargi à la communauté éducative de l’établissement</w:t>
      </w:r>
      <w:r>
        <w:rPr>
          <w:rFonts w:ascii="Arial" w:eastAsia="Arial" w:hAnsi="Arial" w:cs="Arial"/>
          <w:sz w:val="22"/>
          <w:szCs w:val="22"/>
        </w:rPr>
        <w:t>.</w:t>
      </w:r>
    </w:p>
    <w:p w14:paraId="49B45830" w14:textId="26A815B6" w:rsidR="00597FE4" w:rsidRDefault="00597FE4" w:rsidP="00F73C1A">
      <w:pPr>
        <w:spacing w:before="10" w:after="10"/>
        <w:rPr>
          <w:rFonts w:ascii="Arial" w:eastAsia="Arial" w:hAnsi="Arial" w:cs="Arial"/>
          <w:sz w:val="22"/>
          <w:szCs w:val="22"/>
        </w:rPr>
      </w:pPr>
    </w:p>
    <w:p w14:paraId="1955ACA7" w14:textId="77777777" w:rsidR="00597FE4" w:rsidRPr="00DF386A" w:rsidRDefault="00597FE4" w:rsidP="00F73C1A">
      <w:pPr>
        <w:spacing w:before="10" w:after="10"/>
        <w:rPr>
          <w:rFonts w:ascii="Arial" w:eastAsia="Times New Roman" w:hAnsi="Arial" w:cs="Arial"/>
          <w:sz w:val="16"/>
          <w:szCs w:val="16"/>
        </w:rPr>
      </w:pPr>
    </w:p>
    <w:p w14:paraId="0D96E349" w14:textId="77777777" w:rsidR="00F73C1A" w:rsidRPr="006F149B" w:rsidRDefault="00F73C1A" w:rsidP="00F73C1A">
      <w:pPr>
        <w:spacing w:after="120"/>
        <w:rPr>
          <w:rFonts w:ascii="Arial" w:eastAsiaTheme="minorEastAsia" w:hAnsi="Arial" w:cs="Arial"/>
          <w:b/>
          <w:bCs/>
          <w:color w:val="167F8C"/>
          <w:szCs w:val="24"/>
          <w:lang w:eastAsia="en-US"/>
        </w:rPr>
      </w:pPr>
      <w:bookmarkStart w:id="2" w:name="_Hlk83478184"/>
      <w:r w:rsidRPr="006F149B">
        <w:rPr>
          <w:rFonts w:ascii="Arial" w:eastAsiaTheme="minorEastAsia" w:hAnsi="Arial" w:cs="Arial"/>
          <w:b/>
          <w:bCs/>
          <w:color w:val="167F8C"/>
          <w:szCs w:val="24"/>
          <w:lang w:eastAsia="en-US"/>
        </w:rPr>
        <w:t xml:space="preserve">Barème et notation </w:t>
      </w:r>
    </w:p>
    <w:p w14:paraId="709A2BA0" w14:textId="54F4BADD" w:rsidR="00F73C1A" w:rsidRPr="0064055E" w:rsidRDefault="00F73C1A" w:rsidP="0064055E">
      <w:pPr>
        <w:rPr>
          <w:rFonts w:ascii="Arial" w:hAnsi="Arial" w:cs="Arial"/>
          <w:sz w:val="22"/>
          <w:szCs w:val="22"/>
        </w:rPr>
      </w:pPr>
      <w:r w:rsidRPr="006E7F55">
        <w:rPr>
          <w:rFonts w:ascii="Arial" w:hAnsi="Arial" w:cs="Arial"/>
          <w:sz w:val="22"/>
          <w:szCs w:val="22"/>
        </w:rPr>
        <w:t xml:space="preserve">L’AFL </w:t>
      </w:r>
      <w:r w:rsidRPr="0090052F">
        <w:rPr>
          <w:rFonts w:ascii="Arial" w:hAnsi="Arial" w:cs="Arial"/>
          <w:sz w:val="22"/>
          <w:szCs w:val="22"/>
        </w:rPr>
        <w:t>est noté sur 12 points</w:t>
      </w:r>
      <w:r w:rsidRPr="0064055E">
        <w:rPr>
          <w:rFonts w:ascii="Arial" w:hAnsi="Arial" w:cs="Arial"/>
          <w:sz w:val="22"/>
          <w:szCs w:val="22"/>
        </w:rPr>
        <w:t xml:space="preserve"> (deux éléments chacun sur 6 points). </w:t>
      </w:r>
    </w:p>
    <w:p w14:paraId="472F1878" w14:textId="360A17AD" w:rsidR="00F73C1A" w:rsidRPr="001E1A2B" w:rsidRDefault="00597FE4" w:rsidP="00F73C1A">
      <w:pPr>
        <w:rPr>
          <w:rFonts w:eastAsia="Times New Roman"/>
          <w:sz w:val="18"/>
          <w:szCs w:val="14"/>
        </w:rPr>
      </w:pPr>
      <w:r w:rsidRPr="00597FE4">
        <w:rPr>
          <w:rFonts w:ascii="Arial" w:eastAsia="Arial" w:hAnsi="Arial" w:cs="Arial"/>
          <w:sz w:val="22"/>
          <w:szCs w:val="22"/>
        </w:rPr>
        <w:t xml:space="preserve">Pour les « activités codifiées », le code de référence </w:t>
      </w:r>
      <w:r w:rsidR="0064055E">
        <w:rPr>
          <w:rFonts w:ascii="Arial" w:eastAsia="Arial" w:hAnsi="Arial" w:cs="Arial"/>
          <w:sz w:val="22"/>
          <w:szCs w:val="22"/>
        </w:rPr>
        <w:t xml:space="preserve">est construit par l’équipe pédagogique. Il </w:t>
      </w:r>
      <w:r w:rsidRPr="00597FE4">
        <w:rPr>
          <w:rFonts w:ascii="Arial" w:eastAsia="Arial" w:hAnsi="Arial" w:cs="Arial"/>
          <w:sz w:val="22"/>
          <w:szCs w:val="22"/>
        </w:rPr>
        <w:t>définit les critères de composition</w:t>
      </w:r>
      <w:r w:rsidR="0064055E">
        <w:rPr>
          <w:rFonts w:ascii="Arial" w:eastAsia="Arial" w:hAnsi="Arial" w:cs="Arial"/>
          <w:sz w:val="22"/>
          <w:szCs w:val="22"/>
        </w:rPr>
        <w:t xml:space="preserve">, </w:t>
      </w:r>
      <w:r w:rsidRPr="00597FE4">
        <w:rPr>
          <w:rFonts w:ascii="Arial" w:eastAsia="Arial" w:hAnsi="Arial" w:cs="Arial"/>
          <w:sz w:val="22"/>
          <w:szCs w:val="22"/>
        </w:rPr>
        <w:t>d’exécution</w:t>
      </w:r>
      <w:r w:rsidR="0064055E">
        <w:rPr>
          <w:rFonts w:ascii="Arial" w:eastAsia="Arial" w:hAnsi="Arial" w:cs="Arial"/>
          <w:sz w:val="22"/>
          <w:szCs w:val="22"/>
        </w:rPr>
        <w:t>,</w:t>
      </w:r>
      <w:r w:rsidRPr="00597FE4">
        <w:rPr>
          <w:rFonts w:ascii="Arial" w:eastAsia="Arial" w:hAnsi="Arial" w:cs="Arial"/>
          <w:sz w:val="22"/>
          <w:szCs w:val="22"/>
        </w:rPr>
        <w:t xml:space="preserve"> la difficulté des </w:t>
      </w:r>
      <w:r w:rsidRPr="001E1A2B">
        <w:rPr>
          <w:rFonts w:ascii="Arial" w:eastAsia="Arial" w:hAnsi="Arial" w:cs="Arial"/>
          <w:sz w:val="22"/>
          <w:szCs w:val="22"/>
        </w:rPr>
        <w:t xml:space="preserve">éléments, hiérarchisée </w:t>
      </w:r>
      <w:r w:rsidR="0064055E" w:rsidRPr="001E1A2B">
        <w:rPr>
          <w:rFonts w:ascii="Arial" w:eastAsia="Arial" w:hAnsi="Arial" w:cs="Arial"/>
          <w:sz w:val="22"/>
          <w:szCs w:val="22"/>
        </w:rPr>
        <w:t>dans trois</w:t>
      </w:r>
      <w:r w:rsidRPr="001E1A2B">
        <w:rPr>
          <w:rFonts w:ascii="Arial" w:eastAsia="Arial" w:hAnsi="Arial" w:cs="Arial"/>
          <w:sz w:val="22"/>
          <w:szCs w:val="22"/>
        </w:rPr>
        <w:t xml:space="preserve"> niveaux. </w:t>
      </w:r>
      <w:r w:rsidR="0064055E" w:rsidRPr="001E1A2B">
        <w:rPr>
          <w:rFonts w:ascii="Arial" w:eastAsia="Arial" w:hAnsi="Arial" w:cs="Arial"/>
          <w:sz w:val="22"/>
          <w:szCs w:val="22"/>
        </w:rPr>
        <w:t>Il</w:t>
      </w:r>
      <w:r w:rsidRPr="001E1A2B">
        <w:rPr>
          <w:rFonts w:ascii="Arial" w:eastAsia="Arial" w:hAnsi="Arial" w:cs="Arial"/>
          <w:sz w:val="22"/>
          <w:szCs w:val="22"/>
        </w:rPr>
        <w:t xml:space="preserve"> précise les exigences qui relèvent de l’individuel et du collectif</w:t>
      </w:r>
      <w:r w:rsidR="0064055E" w:rsidRPr="001E1A2B">
        <w:rPr>
          <w:rFonts w:ascii="Arial" w:eastAsia="Arial" w:hAnsi="Arial" w:cs="Arial"/>
          <w:sz w:val="22"/>
          <w:szCs w:val="22"/>
        </w:rPr>
        <w:t xml:space="preserve">. L’équipe pédagogique peut </w:t>
      </w:r>
      <w:r w:rsidR="00A558F6" w:rsidRPr="001E1A2B">
        <w:rPr>
          <w:rFonts w:ascii="Arial" w:eastAsia="Arial" w:hAnsi="Arial" w:cs="Arial"/>
          <w:sz w:val="22"/>
          <w:szCs w:val="22"/>
        </w:rPr>
        <w:t xml:space="preserve">adapter </w:t>
      </w:r>
      <w:r w:rsidR="001E1A2B">
        <w:rPr>
          <w:rFonts w:ascii="Arial" w:eastAsia="Arial" w:hAnsi="Arial" w:cs="Arial"/>
          <w:sz w:val="22"/>
          <w:szCs w:val="22"/>
        </w:rPr>
        <w:t xml:space="preserve">et compléter </w:t>
      </w:r>
      <w:r w:rsidR="0064055E" w:rsidRPr="001E1A2B">
        <w:rPr>
          <w:rFonts w:ascii="Arial" w:eastAsia="Arial" w:hAnsi="Arial" w:cs="Arial"/>
          <w:sz w:val="22"/>
          <w:szCs w:val="22"/>
        </w:rPr>
        <w:t xml:space="preserve">des codes existants (code UNSS par exemple). </w:t>
      </w:r>
    </w:p>
    <w:p w14:paraId="55499639" w14:textId="3CDB1109" w:rsidR="00B83617" w:rsidRDefault="00B83617" w:rsidP="00F73C1A">
      <w:pPr>
        <w:rPr>
          <w:rFonts w:eastAsia="Times New Roman"/>
          <w:sz w:val="18"/>
          <w:szCs w:val="14"/>
        </w:rPr>
      </w:pPr>
    </w:p>
    <w:p w14:paraId="3B296B33" w14:textId="77777777" w:rsidR="00597FE4" w:rsidRPr="00B83617" w:rsidRDefault="00597FE4" w:rsidP="00F73C1A">
      <w:pPr>
        <w:rPr>
          <w:rFonts w:eastAsia="Times New Roman"/>
          <w:sz w:val="18"/>
          <w:szCs w:val="14"/>
        </w:rPr>
      </w:pPr>
    </w:p>
    <w:bookmarkEnd w:id="2"/>
    <w:p w14:paraId="597310C4" w14:textId="77777777" w:rsidR="00597FE4" w:rsidRPr="006F149B" w:rsidRDefault="00597FE4" w:rsidP="00597FE4">
      <w:pPr>
        <w:spacing w:after="120"/>
        <w:rPr>
          <w:b/>
          <w:bCs/>
        </w:rPr>
      </w:pPr>
      <w:r>
        <w:rPr>
          <w:rFonts w:ascii="Arial" w:hAnsi="Arial" w:cs="Arial"/>
          <w:b/>
          <w:bCs/>
          <w:color w:val="167F8C"/>
        </w:rPr>
        <w:t>Référentiel APSA</w:t>
      </w:r>
      <w:r w:rsidRPr="006F149B">
        <w:rPr>
          <w:b/>
          <w:bCs/>
        </w:rPr>
        <w:t xml:space="preserve"> </w:t>
      </w:r>
    </w:p>
    <w:p w14:paraId="00C349B7" w14:textId="05420EAE" w:rsidR="00F73C1A" w:rsidRDefault="00597FE4" w:rsidP="00597FE4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534E22">
        <w:rPr>
          <w:rFonts w:ascii="Arial" w:eastAsia="Arial" w:hAnsi="Arial" w:cs="Arial"/>
          <w:sz w:val="22"/>
          <w:szCs w:val="22"/>
        </w:rPr>
        <w:t>L’é</w:t>
      </w:r>
      <w:r>
        <w:rPr>
          <w:rFonts w:ascii="Arial" w:eastAsia="Arial" w:hAnsi="Arial" w:cs="Arial"/>
          <w:sz w:val="22"/>
          <w:szCs w:val="22"/>
        </w:rPr>
        <w:t>quipe</w:t>
      </w:r>
      <w:r w:rsidRPr="00534E22">
        <w:rPr>
          <w:rFonts w:ascii="Arial" w:eastAsia="Arial" w:hAnsi="Arial" w:cs="Arial"/>
          <w:sz w:val="22"/>
          <w:szCs w:val="22"/>
        </w:rPr>
        <w:t xml:space="preserve"> pédagogique de l’établissement</w:t>
      </w:r>
      <w:r>
        <w:rPr>
          <w:rFonts w:ascii="Arial" w:eastAsia="Arial" w:hAnsi="Arial" w:cs="Arial"/>
          <w:sz w:val="22"/>
          <w:szCs w:val="22"/>
        </w:rPr>
        <w:t xml:space="preserve"> spécifie </w:t>
      </w:r>
      <w:r w:rsidR="001862DF">
        <w:rPr>
          <w:rFonts w:ascii="Arial" w:eastAsia="Arial" w:hAnsi="Arial" w:cs="Arial"/>
          <w:sz w:val="22"/>
          <w:szCs w:val="22"/>
        </w:rPr>
        <w:t>pour</w:t>
      </w:r>
      <w:r>
        <w:rPr>
          <w:rFonts w:ascii="Arial" w:eastAsia="Arial" w:hAnsi="Arial" w:cs="Arial"/>
          <w:sz w:val="22"/>
          <w:szCs w:val="22"/>
        </w:rPr>
        <w:t xml:space="preserve"> l’APSA les repères d’évaluation proposés dans le référentiel national du champ d’apprentissage.</w:t>
      </w:r>
    </w:p>
    <w:p w14:paraId="2525BF62" w14:textId="45D26DB2" w:rsidR="001E1A2B" w:rsidRDefault="001E1A2B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34C7287F" w14:textId="77777777" w:rsidR="00597FE4" w:rsidRDefault="00597FE4" w:rsidP="00597FE4">
      <w:pP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65F0EDE" w14:textId="23C9D6B2" w:rsidR="00F73C1A" w:rsidRPr="00330A96" w:rsidRDefault="00F73C1A" w:rsidP="00F73C1A">
      <w:pPr>
        <w:spacing w:after="120"/>
        <w:rPr>
          <w:rFonts w:ascii="Arial" w:hAnsi="Arial" w:cs="Arial"/>
          <w:b/>
          <w:bCs/>
          <w:color w:val="167F8C"/>
        </w:rPr>
      </w:pPr>
      <w:r w:rsidRPr="00330A96">
        <w:rPr>
          <w:rFonts w:ascii="Arial" w:hAnsi="Arial" w:cs="Arial"/>
          <w:b/>
          <w:bCs/>
          <w:color w:val="167F8C"/>
        </w:rPr>
        <w:t>Repères d’évaluation de l’AFL</w:t>
      </w:r>
    </w:p>
    <w:p w14:paraId="76D74D74" w14:textId="77777777" w:rsidR="00061444" w:rsidRPr="00061444" w:rsidRDefault="00061444" w:rsidP="00061444">
      <w:pPr>
        <w:pStyle w:val="Sansinterligne"/>
        <w:rPr>
          <w:rFonts w:ascii="Arial" w:hAnsi="Arial" w:cs="Arial"/>
          <w:sz w:val="10"/>
        </w:rPr>
      </w:pPr>
    </w:p>
    <w:tbl>
      <w:tblPr>
        <w:tblStyle w:val="a"/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29"/>
        <w:gridCol w:w="3304"/>
        <w:gridCol w:w="3304"/>
        <w:gridCol w:w="3304"/>
      </w:tblGrid>
      <w:tr w:rsidR="0077378B" w:rsidRPr="006709D8" w14:paraId="646032B0" w14:textId="77777777" w:rsidTr="00FE773C">
        <w:trPr>
          <w:trHeight w:val="312"/>
        </w:trPr>
        <w:tc>
          <w:tcPr>
            <w:tcW w:w="2410" w:type="dxa"/>
            <w:vMerge w:val="restart"/>
            <w:vAlign w:val="center"/>
          </w:tcPr>
          <w:p w14:paraId="2142F89B" w14:textId="77777777" w:rsidR="006F3AEC" w:rsidRPr="006709D8" w:rsidRDefault="006F3AEC">
            <w:pPr>
              <w:pStyle w:val="Titre2"/>
              <w:jc w:val="center"/>
              <w:rPr>
                <w:rFonts w:ascii="Arial" w:eastAsia="Arial" w:hAnsi="Arial" w:cs="Arial"/>
                <w:b w:val="0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 w:val="0"/>
                <w:bCs/>
                <w:sz w:val="20"/>
              </w:rPr>
              <w:t>Éléments à évaluer</w:t>
            </w:r>
          </w:p>
        </w:tc>
        <w:tc>
          <w:tcPr>
            <w:tcW w:w="13041" w:type="dxa"/>
            <w:gridSpan w:val="4"/>
            <w:vAlign w:val="center"/>
          </w:tcPr>
          <w:p w14:paraId="21480E7A" w14:textId="77777777" w:rsidR="006F3AEC" w:rsidRPr="006709D8" w:rsidRDefault="006F3AEC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Repères d’évaluation</w:t>
            </w:r>
          </w:p>
        </w:tc>
      </w:tr>
      <w:tr w:rsidR="0077378B" w:rsidRPr="006709D8" w14:paraId="52319D5C" w14:textId="77777777" w:rsidTr="00FE773C">
        <w:trPr>
          <w:trHeight w:val="312"/>
        </w:trPr>
        <w:tc>
          <w:tcPr>
            <w:tcW w:w="2410" w:type="dxa"/>
            <w:vMerge/>
            <w:vAlign w:val="center"/>
          </w:tcPr>
          <w:p w14:paraId="59857802" w14:textId="77777777" w:rsidR="006F3AEC" w:rsidRPr="006709D8" w:rsidRDefault="006F3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3129" w:type="dxa"/>
            <w:vAlign w:val="center"/>
          </w:tcPr>
          <w:p w14:paraId="7059B80B" w14:textId="5D6F7CFA" w:rsidR="006F3AEC" w:rsidRPr="006709D8" w:rsidRDefault="006F3AEC" w:rsidP="002A64D9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Degré 1 </w:t>
            </w:r>
          </w:p>
          <w:p w14:paraId="3CF67D99" w14:textId="77777777" w:rsidR="006F3AEC" w:rsidRPr="006709D8" w:rsidRDefault="006F3AEC" w:rsidP="002A64D9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De 0,25 à 1,25 points</w:t>
            </w:r>
          </w:p>
        </w:tc>
        <w:tc>
          <w:tcPr>
            <w:tcW w:w="3304" w:type="dxa"/>
            <w:vAlign w:val="center"/>
          </w:tcPr>
          <w:p w14:paraId="573D3D4F" w14:textId="77777777" w:rsidR="006F3AEC" w:rsidRPr="006709D8" w:rsidRDefault="006F3AEC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Degré 2 </w:t>
            </w:r>
          </w:p>
          <w:p w14:paraId="6365DAA9" w14:textId="77777777" w:rsidR="006F3AEC" w:rsidRPr="006709D8" w:rsidRDefault="006F3AEC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De 1,5 à 2,75 points</w:t>
            </w:r>
          </w:p>
        </w:tc>
        <w:tc>
          <w:tcPr>
            <w:tcW w:w="3304" w:type="dxa"/>
            <w:vAlign w:val="center"/>
          </w:tcPr>
          <w:p w14:paraId="558272DD" w14:textId="77777777" w:rsidR="006F3AEC" w:rsidRPr="006709D8" w:rsidRDefault="006F3AEC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Degré 3 </w:t>
            </w:r>
          </w:p>
          <w:p w14:paraId="087D7097" w14:textId="77777777" w:rsidR="006F3AEC" w:rsidRPr="006709D8" w:rsidRDefault="006F3AEC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De 3 à 4,25 points</w:t>
            </w:r>
          </w:p>
        </w:tc>
        <w:tc>
          <w:tcPr>
            <w:tcW w:w="3304" w:type="dxa"/>
            <w:vAlign w:val="center"/>
          </w:tcPr>
          <w:p w14:paraId="4F54FE56" w14:textId="77777777" w:rsidR="006F3AEC" w:rsidRPr="006709D8" w:rsidRDefault="006F3AEC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Degré 4 </w:t>
            </w:r>
          </w:p>
          <w:p w14:paraId="0AAE0CE7" w14:textId="77777777" w:rsidR="006F3AEC" w:rsidRPr="006709D8" w:rsidRDefault="006F3AEC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De 4,5 à 6 points</w:t>
            </w:r>
          </w:p>
        </w:tc>
      </w:tr>
      <w:tr w:rsidR="0077378B" w:rsidRPr="006709D8" w14:paraId="3457BD93" w14:textId="77777777" w:rsidTr="0064258F">
        <w:trPr>
          <w:trHeight w:val="387"/>
        </w:trPr>
        <w:tc>
          <w:tcPr>
            <w:tcW w:w="15451" w:type="dxa"/>
            <w:gridSpan w:val="5"/>
            <w:shd w:val="clear" w:color="auto" w:fill="D9D9D9"/>
            <w:vAlign w:val="center"/>
          </w:tcPr>
          <w:p w14:paraId="546EA90A" w14:textId="77777777" w:rsidR="00E64D0C" w:rsidRPr="006709D8" w:rsidRDefault="00D8398A">
            <w:pPr>
              <w:jc w:val="center"/>
              <w:rPr>
                <w:rFonts w:ascii="Arial" w:eastAsia="Arial" w:hAnsi="Arial" w:cs="Arial"/>
                <w:bCs/>
                <w:sz w:val="20"/>
                <w:szCs w:val="22"/>
              </w:rPr>
            </w:pPr>
            <w:r w:rsidRPr="006709D8">
              <w:rPr>
                <w:rFonts w:ascii="Arial" w:eastAsia="Arial" w:hAnsi="Arial" w:cs="Arial"/>
                <w:bCs/>
                <w:sz w:val="20"/>
                <w:szCs w:val="22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77378B" w:rsidRPr="006709D8" w14:paraId="688706A8" w14:textId="77777777" w:rsidTr="00FE773C">
        <w:trPr>
          <w:trHeight w:val="1704"/>
        </w:trPr>
        <w:tc>
          <w:tcPr>
            <w:tcW w:w="2410" w:type="dxa"/>
            <w:vAlign w:val="center"/>
          </w:tcPr>
          <w:p w14:paraId="25107B2F" w14:textId="0A775142" w:rsidR="0064258F" w:rsidRDefault="0064258F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Réaliser et maîtriser des formes corporelles de plus en plus complexes techniquement</w:t>
            </w:r>
            <w:r w:rsidR="00DB5F6F">
              <w:rPr>
                <w:rFonts w:ascii="Arial" w:eastAsia="Arial" w:hAnsi="Arial" w:cs="Arial"/>
                <w:bCs/>
                <w:sz w:val="20"/>
              </w:rPr>
              <w:t xml:space="preserve"> *</w:t>
            </w:r>
          </w:p>
          <w:p w14:paraId="06ECA63A" w14:textId="77777777" w:rsidR="00E20E93" w:rsidRPr="006709D8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</w:p>
          <w:p w14:paraId="04527832" w14:textId="3FB1A3B6" w:rsidR="0064258F" w:rsidRPr="00E20E93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E20E93">
              <w:rPr>
                <w:rFonts w:ascii="Arial" w:eastAsia="Arial" w:hAnsi="Arial" w:cs="Arial"/>
                <w:bCs/>
                <w:sz w:val="20"/>
              </w:rPr>
              <w:t>Sur 6 points</w:t>
            </w:r>
          </w:p>
        </w:tc>
        <w:tc>
          <w:tcPr>
            <w:tcW w:w="3129" w:type="dxa"/>
            <w:vAlign w:val="center"/>
          </w:tcPr>
          <w:p w14:paraId="6AD9B987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Exécution globalement maîtrisée</w:t>
            </w:r>
          </w:p>
          <w:p w14:paraId="3DAF660E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Formes corporelles isolées plutôt appropriées aux ressources</w:t>
            </w:r>
          </w:p>
          <w:p w14:paraId="3FF47325" w14:textId="375789BD" w:rsidR="0064258F" w:rsidRPr="006709D8" w:rsidRDefault="0077378B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  <w:highlight w:val="green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Éléments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 xml:space="preserve"> majoritairement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>de niveau 1</w:t>
            </w:r>
          </w:p>
        </w:tc>
        <w:tc>
          <w:tcPr>
            <w:tcW w:w="3304" w:type="dxa"/>
            <w:vAlign w:val="center"/>
          </w:tcPr>
          <w:p w14:paraId="1FF23127" w14:textId="29409C28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Exécution stabilisée</w:t>
            </w:r>
          </w:p>
          <w:p w14:paraId="27435C4D" w14:textId="49827312" w:rsidR="00061444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  <w:highlight w:val="green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Formes corporelles simples actions enchaînées</w:t>
            </w:r>
          </w:p>
          <w:p w14:paraId="40B21C77" w14:textId="61BE7EB0" w:rsidR="0064258F" w:rsidRPr="006709D8" w:rsidRDefault="0077378B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  <w:highlight w:val="green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Éléments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 xml:space="preserve"> majoritairement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>de niveau 1</w:t>
            </w:r>
          </w:p>
        </w:tc>
        <w:tc>
          <w:tcPr>
            <w:tcW w:w="3304" w:type="dxa"/>
            <w:vAlign w:val="center"/>
          </w:tcPr>
          <w:p w14:paraId="0BFAD095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  <w:shd w:val="clear" w:color="auto" w:fill="FF990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Exécution maîtrisée</w:t>
            </w:r>
          </w:p>
          <w:p w14:paraId="6F72EF50" w14:textId="117DA62E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Formes corporelles simples combinées</w:t>
            </w:r>
            <w:r w:rsid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adaptées aux ressources, actions coordonnées</w:t>
            </w:r>
          </w:p>
          <w:p w14:paraId="518F9EBC" w14:textId="2E3809D0" w:rsidR="0064258F" w:rsidRPr="006709D8" w:rsidRDefault="0077378B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  <w:highlight w:val="green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Éléments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 xml:space="preserve"> majoritairement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>de niveau 2</w:t>
            </w:r>
          </w:p>
        </w:tc>
        <w:tc>
          <w:tcPr>
            <w:tcW w:w="3304" w:type="dxa"/>
            <w:vAlign w:val="center"/>
          </w:tcPr>
          <w:p w14:paraId="0DC965C5" w14:textId="74A6420B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Exécution dominée</w:t>
            </w:r>
          </w:p>
          <w:p w14:paraId="1D8C22A6" w14:textId="779DA4B6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Formes corporelles complexes et combinées,</w:t>
            </w:r>
            <w:r w:rsid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optimisées par rapport aux ressources</w:t>
            </w:r>
          </w:p>
          <w:p w14:paraId="16C040EA" w14:textId="5EC1CE06" w:rsidR="0064258F" w:rsidRPr="006709D8" w:rsidRDefault="0077378B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  <w:highlight w:val="green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Éléments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 xml:space="preserve"> majoritairement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>de niveau 3</w:t>
            </w:r>
          </w:p>
        </w:tc>
      </w:tr>
      <w:tr w:rsidR="0077378B" w:rsidRPr="006709D8" w14:paraId="0044811E" w14:textId="77777777" w:rsidTr="00FE773C">
        <w:trPr>
          <w:trHeight w:val="1014"/>
        </w:trPr>
        <w:tc>
          <w:tcPr>
            <w:tcW w:w="2410" w:type="dxa"/>
            <w:vAlign w:val="center"/>
          </w:tcPr>
          <w:p w14:paraId="31293272" w14:textId="77777777" w:rsidR="0064258F" w:rsidRDefault="0064258F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Composer et présenter un enchaînement à visée esthétique/ acrobatique</w:t>
            </w:r>
          </w:p>
          <w:p w14:paraId="3656D3EF" w14:textId="77777777" w:rsidR="00E20E93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</w:p>
          <w:p w14:paraId="38CA6998" w14:textId="77777777" w:rsidR="00E20E93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E20E93">
              <w:rPr>
                <w:rFonts w:ascii="Arial" w:eastAsia="Arial" w:hAnsi="Arial" w:cs="Arial"/>
                <w:bCs/>
                <w:sz w:val="20"/>
              </w:rPr>
              <w:t>Sur 6 points</w:t>
            </w:r>
          </w:p>
          <w:p w14:paraId="1F1736F8" w14:textId="62718A10" w:rsidR="00E20E93" w:rsidRPr="006709D8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3129" w:type="dxa"/>
            <w:vAlign w:val="center"/>
          </w:tcPr>
          <w:p w14:paraId="58A49D10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Enchaînement juxtaposé, uniforme</w:t>
            </w:r>
          </w:p>
          <w:p w14:paraId="3E2A47E7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Présentation parasitée</w:t>
            </w:r>
          </w:p>
          <w:p w14:paraId="771541A1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Attitude neutre</w:t>
            </w:r>
          </w:p>
        </w:tc>
        <w:tc>
          <w:tcPr>
            <w:tcW w:w="3304" w:type="dxa"/>
            <w:vAlign w:val="center"/>
          </w:tcPr>
          <w:p w14:paraId="0583C018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Enchaînement </w:t>
            </w:r>
            <w:r w:rsidR="003D26B8" w:rsidRPr="006709D8">
              <w:rPr>
                <w:rFonts w:ascii="Arial" w:eastAsia="Arial" w:hAnsi="Arial" w:cs="Arial"/>
                <w:bCs/>
                <w:sz w:val="20"/>
              </w:rPr>
              <w:t xml:space="preserve">organisé </w:t>
            </w:r>
          </w:p>
          <w:p w14:paraId="2A6CFCE9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Présentation correcte</w:t>
            </w:r>
          </w:p>
          <w:p w14:paraId="322F4638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Attitude appliquée</w:t>
            </w:r>
          </w:p>
        </w:tc>
        <w:tc>
          <w:tcPr>
            <w:tcW w:w="3304" w:type="dxa"/>
            <w:vAlign w:val="center"/>
          </w:tcPr>
          <w:p w14:paraId="5AA5A86F" w14:textId="2EB37430" w:rsidR="00BA56FA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Enchaînement </w:t>
            </w:r>
            <w:r w:rsidR="003D26B8" w:rsidRPr="006709D8">
              <w:rPr>
                <w:rFonts w:ascii="Arial" w:eastAsia="Arial" w:hAnsi="Arial" w:cs="Arial"/>
                <w:bCs/>
                <w:sz w:val="20"/>
              </w:rPr>
              <w:t>lié</w:t>
            </w:r>
            <w:r w:rsidR="00F647C2" w:rsidRPr="006709D8">
              <w:rPr>
                <w:rFonts w:ascii="Arial" w:eastAsia="Arial" w:hAnsi="Arial" w:cs="Arial"/>
                <w:bCs/>
                <w:sz w:val="20"/>
              </w:rPr>
              <w:t xml:space="preserve">, </w:t>
            </w:r>
            <w:r w:rsidR="00BA56FA" w:rsidRPr="006709D8">
              <w:rPr>
                <w:rFonts w:ascii="Arial" w:eastAsia="Arial" w:hAnsi="Arial" w:cs="Arial"/>
                <w:bCs/>
                <w:sz w:val="20"/>
              </w:rPr>
              <w:t>dynamique</w:t>
            </w:r>
          </w:p>
          <w:p w14:paraId="203B9F37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Présentation soignée</w:t>
            </w:r>
          </w:p>
          <w:p w14:paraId="2A57C23F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Attitude concentrée</w:t>
            </w:r>
          </w:p>
        </w:tc>
        <w:tc>
          <w:tcPr>
            <w:tcW w:w="3304" w:type="dxa"/>
            <w:vAlign w:val="center"/>
          </w:tcPr>
          <w:p w14:paraId="03C3A662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Enchaînement rythmé, optimisé </w:t>
            </w:r>
          </w:p>
          <w:p w14:paraId="03D2B9A0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 xml:space="preserve">Présentation </w:t>
            </w:r>
            <w:r w:rsidR="00853452" w:rsidRPr="006709D8">
              <w:rPr>
                <w:rFonts w:ascii="Arial" w:eastAsia="Arial" w:hAnsi="Arial" w:cs="Arial"/>
                <w:bCs/>
                <w:sz w:val="20"/>
              </w:rPr>
              <w:t>remarquable</w:t>
            </w:r>
          </w:p>
          <w:p w14:paraId="4627CF32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Attitude engagée</w:t>
            </w:r>
          </w:p>
        </w:tc>
      </w:tr>
      <w:tr w:rsidR="0077378B" w:rsidRPr="006709D8" w14:paraId="04B5D419" w14:textId="77777777" w:rsidTr="0064258F">
        <w:trPr>
          <w:trHeight w:val="424"/>
        </w:trPr>
        <w:tc>
          <w:tcPr>
            <w:tcW w:w="15451" w:type="dxa"/>
            <w:gridSpan w:val="5"/>
            <w:shd w:val="clear" w:color="auto" w:fill="D9D9D9"/>
            <w:vAlign w:val="center"/>
          </w:tcPr>
          <w:p w14:paraId="5F1A081B" w14:textId="77777777" w:rsidR="00E64D0C" w:rsidRPr="006709D8" w:rsidRDefault="00D8398A" w:rsidP="006709D8">
            <w:pPr>
              <w:spacing w:after="60"/>
              <w:jc w:val="center"/>
              <w:rPr>
                <w:rFonts w:ascii="Arial" w:eastAsia="Arial" w:hAnsi="Arial" w:cs="Arial"/>
                <w:bCs/>
                <w:iCs/>
                <w:sz w:val="20"/>
                <w:szCs w:val="22"/>
              </w:rPr>
            </w:pPr>
            <w:r w:rsidRPr="006709D8">
              <w:rPr>
                <w:rFonts w:ascii="Arial" w:eastAsia="Arial" w:hAnsi="Arial" w:cs="Arial"/>
                <w:bCs/>
                <w:iCs/>
                <w:sz w:val="20"/>
                <w:szCs w:val="22"/>
                <w:shd w:val="clear" w:color="auto" w:fill="D9D9D9"/>
              </w:rPr>
              <w:t>S’engager pour composer et interpréter une chorégraphie collective, selon un projet artistique en mobilisant une motricité expressive et des procédés de composition</w:t>
            </w:r>
            <w:r w:rsidRPr="006709D8">
              <w:rPr>
                <w:rFonts w:ascii="Arial" w:eastAsia="Arial" w:hAnsi="Arial" w:cs="Arial"/>
                <w:bCs/>
                <w:iCs/>
                <w:sz w:val="20"/>
                <w:szCs w:val="22"/>
              </w:rPr>
              <w:t>.</w:t>
            </w:r>
          </w:p>
        </w:tc>
      </w:tr>
      <w:tr w:rsidR="0077378B" w:rsidRPr="006709D8" w14:paraId="5B15755F" w14:textId="77777777" w:rsidTr="00FE773C">
        <w:trPr>
          <w:trHeight w:val="574"/>
        </w:trPr>
        <w:tc>
          <w:tcPr>
            <w:tcW w:w="2410" w:type="dxa"/>
            <w:vAlign w:val="center"/>
          </w:tcPr>
          <w:p w14:paraId="4E966E3D" w14:textId="77777777" w:rsidR="0064258F" w:rsidRPr="006709D8" w:rsidRDefault="0064258F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S’engager pour interpréter</w:t>
            </w:r>
          </w:p>
          <w:p w14:paraId="66746123" w14:textId="77777777" w:rsidR="00E20E93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</w:p>
          <w:p w14:paraId="69837E09" w14:textId="19BF58EE" w:rsidR="0064258F" w:rsidRPr="006709D8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E20E93">
              <w:rPr>
                <w:rFonts w:ascii="Arial" w:eastAsia="Arial" w:hAnsi="Arial" w:cs="Arial"/>
                <w:bCs/>
                <w:sz w:val="20"/>
              </w:rPr>
              <w:t>Sur 6 points</w:t>
            </w:r>
            <w:r w:rsidR="0064258F" w:rsidRP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129" w:type="dxa"/>
            <w:vAlign w:val="center"/>
          </w:tcPr>
          <w:p w14:paraId="74870039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Engagement corporel inégal</w:t>
            </w:r>
          </w:p>
          <w:p w14:paraId="7A208C8E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Présence intermittente</w:t>
            </w:r>
          </w:p>
          <w:p w14:paraId="6AD69C5A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Réalisations imprécises</w:t>
            </w:r>
          </w:p>
        </w:tc>
        <w:tc>
          <w:tcPr>
            <w:tcW w:w="3304" w:type="dxa"/>
            <w:vAlign w:val="center"/>
          </w:tcPr>
          <w:p w14:paraId="46392860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Engagement corporel et présence continus</w:t>
            </w:r>
          </w:p>
          <w:p w14:paraId="2994923A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Réalisations précis</w:t>
            </w:r>
            <w:r w:rsidR="00FE773C" w:rsidRPr="006709D8">
              <w:rPr>
                <w:rFonts w:ascii="Arial" w:eastAsia="Arial" w:hAnsi="Arial" w:cs="Arial"/>
                <w:bCs/>
                <w:sz w:val="20"/>
              </w:rPr>
              <w:t>é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es</w:t>
            </w:r>
          </w:p>
        </w:tc>
        <w:tc>
          <w:tcPr>
            <w:tcW w:w="3304" w:type="dxa"/>
            <w:vAlign w:val="center"/>
          </w:tcPr>
          <w:p w14:paraId="43BA86AC" w14:textId="357D1E1E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Fort engagement corporel /</w:t>
            </w:r>
            <w:r w:rsid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présence moindre</w:t>
            </w:r>
          </w:p>
          <w:p w14:paraId="65CD58E3" w14:textId="700CD129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proofErr w:type="gramStart"/>
            <w:r w:rsidRPr="006709D8">
              <w:rPr>
                <w:rFonts w:ascii="Arial" w:eastAsia="Arial" w:hAnsi="Arial" w:cs="Arial"/>
                <w:bCs/>
                <w:sz w:val="20"/>
              </w:rPr>
              <w:t>ou</w:t>
            </w:r>
            <w:proofErr w:type="gramEnd"/>
            <w:r w:rsidRPr="006709D8">
              <w:rPr>
                <w:rFonts w:ascii="Arial" w:eastAsia="Arial" w:hAnsi="Arial" w:cs="Arial"/>
                <w:bCs/>
                <w:sz w:val="20"/>
              </w:rPr>
              <w:t xml:space="preserve"> Forte présence</w:t>
            </w:r>
            <w:r w:rsid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/</w:t>
            </w:r>
            <w:r w:rsid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engagement corporel moindre</w:t>
            </w:r>
          </w:p>
          <w:p w14:paraId="228FA5A1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Réalisations affinées</w:t>
            </w:r>
          </w:p>
        </w:tc>
        <w:tc>
          <w:tcPr>
            <w:tcW w:w="3304" w:type="dxa"/>
            <w:vAlign w:val="center"/>
          </w:tcPr>
          <w:p w14:paraId="39EB447D" w14:textId="184F37B3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Relation optimale entre l’engagement corporel</w:t>
            </w:r>
            <w:r w:rsid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et une présence d’interprète</w:t>
            </w:r>
            <w:r w:rsidRPr="006709D8">
              <w:rPr>
                <w:rFonts w:ascii="Arial" w:eastAsia="Arial" w:hAnsi="Arial" w:cs="Arial"/>
                <w:bCs/>
                <w:strike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sensible</w:t>
            </w:r>
          </w:p>
          <w:p w14:paraId="0C0FF422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Réalisations recherchées</w:t>
            </w:r>
          </w:p>
        </w:tc>
      </w:tr>
      <w:tr w:rsidR="0077378B" w:rsidRPr="006709D8" w14:paraId="12F61E6A" w14:textId="77777777" w:rsidTr="00FE773C">
        <w:trPr>
          <w:trHeight w:val="343"/>
        </w:trPr>
        <w:tc>
          <w:tcPr>
            <w:tcW w:w="2410" w:type="dxa"/>
            <w:vAlign w:val="center"/>
          </w:tcPr>
          <w:p w14:paraId="6144A01E" w14:textId="77777777" w:rsidR="0064258F" w:rsidRPr="006709D8" w:rsidRDefault="0064258F" w:rsidP="00061444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Composer et développer un propos artistique</w:t>
            </w:r>
          </w:p>
          <w:p w14:paraId="24D03442" w14:textId="77777777" w:rsidR="00E20E93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</w:p>
          <w:p w14:paraId="1E945C68" w14:textId="77777777" w:rsidR="00E20E93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E20E93">
              <w:rPr>
                <w:rFonts w:ascii="Arial" w:eastAsia="Arial" w:hAnsi="Arial" w:cs="Arial"/>
                <w:bCs/>
                <w:sz w:val="20"/>
              </w:rPr>
              <w:t>Sur 6 points</w:t>
            </w:r>
          </w:p>
          <w:p w14:paraId="20BF7A3D" w14:textId="4841C7A2" w:rsidR="00E20E93" w:rsidRPr="006709D8" w:rsidRDefault="00E20E93">
            <w:pPr>
              <w:jc w:val="center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3129" w:type="dxa"/>
            <w:vAlign w:val="center"/>
          </w:tcPr>
          <w:p w14:paraId="6CC139BE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Propos inégal, fil conducteur du projet intermittent</w:t>
            </w:r>
          </w:p>
          <w:p w14:paraId="4BD12815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Inventivité naissante</w:t>
            </w:r>
          </w:p>
        </w:tc>
        <w:tc>
          <w:tcPr>
            <w:tcW w:w="3304" w:type="dxa"/>
            <w:vAlign w:val="center"/>
          </w:tcPr>
          <w:p w14:paraId="18ED9F40" w14:textId="2A8D244C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Propos continu,</w:t>
            </w:r>
            <w:r w:rsidR="0077378B" w:rsidRPr="006709D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6709D8">
              <w:rPr>
                <w:rFonts w:ascii="Arial" w:eastAsia="Arial" w:hAnsi="Arial" w:cs="Arial"/>
                <w:bCs/>
                <w:sz w:val="20"/>
              </w:rPr>
              <w:t>fil conducteur du projet présent</w:t>
            </w:r>
          </w:p>
          <w:p w14:paraId="6F032BFF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  <w:highlight w:val="green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Inventivité modérée</w:t>
            </w:r>
          </w:p>
        </w:tc>
        <w:tc>
          <w:tcPr>
            <w:tcW w:w="3304" w:type="dxa"/>
            <w:vAlign w:val="center"/>
          </w:tcPr>
          <w:p w14:paraId="67BBB5FE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Propos lisible, projet organisé</w:t>
            </w:r>
          </w:p>
          <w:p w14:paraId="20B821E5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Inventivité riche</w:t>
            </w:r>
          </w:p>
        </w:tc>
        <w:tc>
          <w:tcPr>
            <w:tcW w:w="3304" w:type="dxa"/>
            <w:vAlign w:val="center"/>
          </w:tcPr>
          <w:p w14:paraId="52F90E67" w14:textId="77777777" w:rsidR="0064258F" w:rsidRPr="006709D8" w:rsidRDefault="0064258F" w:rsidP="0067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Propos épuré, projet structuré</w:t>
            </w:r>
          </w:p>
          <w:p w14:paraId="21E96C8D" w14:textId="77777777" w:rsidR="0064258F" w:rsidRPr="006709D8" w:rsidRDefault="0064258F" w:rsidP="006709D8">
            <w:pPr>
              <w:spacing w:after="60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6709D8">
              <w:rPr>
                <w:rFonts w:ascii="Arial" w:eastAsia="Arial" w:hAnsi="Arial" w:cs="Arial"/>
                <w:bCs/>
                <w:sz w:val="20"/>
              </w:rPr>
              <w:t>Inventivité affirmée</w:t>
            </w:r>
          </w:p>
        </w:tc>
      </w:tr>
    </w:tbl>
    <w:p w14:paraId="06F97D09" w14:textId="68BA155D" w:rsidR="00E64D0C" w:rsidRPr="00DB5F6F" w:rsidRDefault="00DB5F6F" w:rsidP="00FE773C">
      <w:pPr>
        <w:spacing w:after="160" w:line="259" w:lineRule="auto"/>
        <w:rPr>
          <w:rFonts w:ascii="Arial" w:eastAsia="Arial" w:hAnsi="Arial" w:cs="Arial"/>
          <w:color w:val="000000"/>
          <w:sz w:val="20"/>
        </w:rPr>
      </w:pPr>
      <w:r w:rsidRPr="001E1A2B">
        <w:rPr>
          <w:rFonts w:ascii="Arial" w:eastAsia="Arial" w:hAnsi="Arial" w:cs="Arial"/>
          <w:b/>
          <w:color w:val="000000"/>
        </w:rPr>
        <w:t>*</w:t>
      </w:r>
      <w:r w:rsidR="001E1A2B" w:rsidRPr="001E1A2B">
        <w:rPr>
          <w:rFonts w:ascii="Arial" w:eastAsia="Arial" w:hAnsi="Arial" w:cs="Arial"/>
          <w:bCs/>
          <w:color w:val="000000"/>
        </w:rPr>
        <w:t>S</w:t>
      </w:r>
      <w:r w:rsidRPr="001E1A2B">
        <w:rPr>
          <w:rFonts w:ascii="Arial" w:eastAsia="Arial" w:hAnsi="Arial" w:cs="Arial"/>
          <w:color w:val="000000"/>
          <w:sz w:val="20"/>
        </w:rPr>
        <w:t>aut de cheval : seul cet élément est à évaluer</w:t>
      </w:r>
      <w:r w:rsidR="00B360BE" w:rsidRPr="001E1A2B">
        <w:rPr>
          <w:rFonts w:ascii="Arial" w:eastAsia="Arial" w:hAnsi="Arial" w:cs="Arial"/>
          <w:color w:val="000000"/>
          <w:sz w:val="20"/>
        </w:rPr>
        <w:t xml:space="preserve">, sur </w:t>
      </w:r>
      <w:r w:rsidR="00747AD9" w:rsidRPr="001E1A2B">
        <w:rPr>
          <w:rFonts w:ascii="Arial" w:eastAsia="Arial" w:hAnsi="Arial" w:cs="Arial"/>
          <w:color w:val="000000"/>
          <w:sz w:val="20"/>
        </w:rPr>
        <w:t xml:space="preserve">un total de </w:t>
      </w:r>
      <w:r w:rsidR="00B360BE" w:rsidRPr="001E1A2B">
        <w:rPr>
          <w:rFonts w:ascii="Arial" w:eastAsia="Arial" w:hAnsi="Arial" w:cs="Arial"/>
          <w:color w:val="000000"/>
          <w:sz w:val="20"/>
        </w:rPr>
        <w:t>12 points.</w:t>
      </w:r>
    </w:p>
    <w:sectPr w:rsidR="00E64D0C" w:rsidRPr="00DB5F6F" w:rsidSect="00FE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624" w:bottom="142" w:left="624" w:header="284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C5F" w14:textId="77777777" w:rsidR="0003078D" w:rsidRDefault="0003078D">
      <w:r>
        <w:separator/>
      </w:r>
    </w:p>
  </w:endnote>
  <w:endnote w:type="continuationSeparator" w:id="0">
    <w:p w14:paraId="40236D78" w14:textId="77777777" w:rsidR="0003078D" w:rsidRDefault="0003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CE19" w14:textId="77777777" w:rsidR="00E64D0C" w:rsidRDefault="00E64D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9244" w14:textId="77777777" w:rsidR="00E64D0C" w:rsidRDefault="00E64D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A3A4" w14:textId="77777777" w:rsidR="00E64D0C" w:rsidRDefault="00E64D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126D" w14:textId="77777777" w:rsidR="0003078D" w:rsidRDefault="0003078D">
      <w:r>
        <w:separator/>
      </w:r>
    </w:p>
  </w:footnote>
  <w:footnote w:type="continuationSeparator" w:id="0">
    <w:p w14:paraId="556AA2C2" w14:textId="77777777" w:rsidR="0003078D" w:rsidRDefault="0003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CF2C" w14:textId="77777777" w:rsidR="00E64D0C" w:rsidRDefault="00E64D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416D" w14:textId="77777777" w:rsidR="00E64D0C" w:rsidRPr="00FE773C" w:rsidRDefault="00E64D0C" w:rsidP="00FE773C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2439" w14:textId="77777777" w:rsidR="00E64D0C" w:rsidRDefault="00E64D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BBF"/>
    <w:multiLevelType w:val="hybridMultilevel"/>
    <w:tmpl w:val="E852465A"/>
    <w:lvl w:ilvl="0" w:tplc="101A09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C83"/>
    <w:multiLevelType w:val="hybridMultilevel"/>
    <w:tmpl w:val="1B4C9A56"/>
    <w:lvl w:ilvl="0" w:tplc="CDD290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D76"/>
    <w:multiLevelType w:val="hybridMultilevel"/>
    <w:tmpl w:val="1AC6A02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AA0943"/>
    <w:multiLevelType w:val="multilevel"/>
    <w:tmpl w:val="021AE8DA"/>
    <w:lvl w:ilvl="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0C"/>
    <w:rsid w:val="0003078D"/>
    <w:rsid w:val="00061444"/>
    <w:rsid w:val="00082A3F"/>
    <w:rsid w:val="000A385A"/>
    <w:rsid w:val="00127862"/>
    <w:rsid w:val="001862DF"/>
    <w:rsid w:val="001E1A2B"/>
    <w:rsid w:val="002310A6"/>
    <w:rsid w:val="002364E2"/>
    <w:rsid w:val="00240614"/>
    <w:rsid w:val="002A64D9"/>
    <w:rsid w:val="00320994"/>
    <w:rsid w:val="00322B19"/>
    <w:rsid w:val="0036065B"/>
    <w:rsid w:val="003D26B8"/>
    <w:rsid w:val="00494F09"/>
    <w:rsid w:val="004E7E53"/>
    <w:rsid w:val="004F12BC"/>
    <w:rsid w:val="00551F22"/>
    <w:rsid w:val="00597FE4"/>
    <w:rsid w:val="0064055E"/>
    <w:rsid w:val="0064258F"/>
    <w:rsid w:val="00666394"/>
    <w:rsid w:val="006709D8"/>
    <w:rsid w:val="0069746F"/>
    <w:rsid w:val="006D71DB"/>
    <w:rsid w:val="006F3AEC"/>
    <w:rsid w:val="0071612D"/>
    <w:rsid w:val="00747AD9"/>
    <w:rsid w:val="0077378B"/>
    <w:rsid w:val="00853452"/>
    <w:rsid w:val="00886DE7"/>
    <w:rsid w:val="008A6954"/>
    <w:rsid w:val="00983307"/>
    <w:rsid w:val="00996B77"/>
    <w:rsid w:val="00A12EEE"/>
    <w:rsid w:val="00A558F6"/>
    <w:rsid w:val="00B07438"/>
    <w:rsid w:val="00B360BE"/>
    <w:rsid w:val="00B45F9B"/>
    <w:rsid w:val="00B8134D"/>
    <w:rsid w:val="00B83617"/>
    <w:rsid w:val="00BA56FA"/>
    <w:rsid w:val="00C37375"/>
    <w:rsid w:val="00C64463"/>
    <w:rsid w:val="00D8398A"/>
    <w:rsid w:val="00DB5F6F"/>
    <w:rsid w:val="00DD5D89"/>
    <w:rsid w:val="00E20E93"/>
    <w:rsid w:val="00E64D0C"/>
    <w:rsid w:val="00EB22D1"/>
    <w:rsid w:val="00EF2936"/>
    <w:rsid w:val="00F453EF"/>
    <w:rsid w:val="00F647C2"/>
    <w:rsid w:val="00F73C1A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3E29"/>
  <w15:docId w15:val="{26002779-917A-4CE0-85D0-B9113AA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12"/>
    <w:rPr>
      <w:rFonts w:cs="Times New Roman"/>
      <w:szCs w:val="20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4718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lledutableau">
    <w:name w:val="Table Grid"/>
    <w:basedOn w:val="TableauNormal"/>
    <w:uiPriority w:val="39"/>
    <w:rsid w:val="0095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D1CFA"/>
    <w:rPr>
      <w:rFonts w:cs="Times New Roman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C0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B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B9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B98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7378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No2xlxWSycSVc/BscBxg77lTw==">AMUW2mXJBawKTu5TdIPs0DsTEB7RItcw/nD87l+1L4Va99mcvcQjvf1PONhafzUuUUkMcHqHoCvBGMIyIgBrov23nX+3AxBEP4pj1J8lfr7g9YM0QZk2R+FGUwCCNhyrZkWE85r7IE/j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Carole Sève</cp:lastModifiedBy>
  <cp:revision>3</cp:revision>
  <dcterms:created xsi:type="dcterms:W3CDTF">2021-09-27T20:40:00Z</dcterms:created>
  <dcterms:modified xsi:type="dcterms:W3CDTF">2021-09-29T10:40:00Z</dcterms:modified>
</cp:coreProperties>
</file>